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231"/>
        <w:gridCol w:w="1302"/>
        <w:gridCol w:w="1"/>
        <w:gridCol w:w="1289"/>
        <w:gridCol w:w="1504"/>
        <w:gridCol w:w="190"/>
        <w:gridCol w:w="1165"/>
        <w:gridCol w:w="17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雪花啤酒（凉山）有限公司</w:t>
            </w:r>
          </w:p>
        </w:tc>
        <w:tc>
          <w:tcPr>
            <w:tcW w:w="13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4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（啤酒的制造）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103505</wp:posOffset>
                  </wp:positionV>
                  <wp:extent cx="561975" cy="280035"/>
                  <wp:effectExtent l="0" t="0" r="9525" b="5715"/>
                  <wp:wrapNone/>
                  <wp:docPr id="1" name="图片 1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42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网络视频培训11月29日19：30-20：00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产品生产工艺流程图: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酿造为关键过程。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重要环境因</w:t>
            </w: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素：1）潜在火灾；2）噪声的排放；3）废水的排放；4）固废的排放；5）粉尘的排放；6）能源消耗（水、电、蒸汽）；7）氨气泄漏。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控制措施：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配置灭火器材，定期培训演练；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2）</w:t>
            </w: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设备定期维护保养，合理布局等。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3）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废水经</w:t>
            </w:r>
            <w:r>
              <w:rPr>
                <w:rFonts w:hint="eastAsia"/>
              </w:rPr>
              <w:t>污水处理站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处理后达标排放；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4）固废分类收集贮存，定期处理；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 w:ascii="宋体" w:hAnsi="宋体"/>
                <w:szCs w:val="21"/>
              </w:rPr>
              <w:t>粉尘经高压脉冲除尘器处理后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达标</w:t>
            </w:r>
            <w:r>
              <w:rPr>
                <w:rFonts w:hint="eastAsia" w:ascii="宋体" w:hAnsi="宋体"/>
                <w:szCs w:val="21"/>
              </w:rPr>
              <w:t>排放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6）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4"/>
                <w:szCs w:val="21"/>
                <w:lang w:val="en-US" w:eastAsia="zh-CN" w:bidi="ar-SA"/>
              </w:rPr>
              <w:t>安装氨气</w:t>
            </w:r>
            <w:r>
              <w:rPr>
                <w:rFonts w:hint="eastAsia" w:ascii="宋体" w:hAnsi="宋体"/>
                <w:szCs w:val="21"/>
              </w:rPr>
              <w:t>报警器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定期校准，加强人员安全培训，定期演练等。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4"/>
                <w:szCs w:val="21"/>
                <w:lang w:val="en-US" w:eastAsia="zh-CN" w:bidi="ar-SA"/>
              </w:rPr>
              <w:t>大气污染物综合排放标准（GB16297-1996 ）二级标准；《啤酒工业污染物排放标准》（GB19821-2005）预处理标准；《污水排入城镇下水道水质标准》(GB/T31962-2015)表1中B级 标准；《工业企业厂界环境噪声排放标准》（GB12348-2008）3类；GB/T4927啤酒等标准等。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方正仿宋简体" w:eastAsia="方正仿宋简体"/>
                <w:szCs w:val="21"/>
                <w:highlight w:val="none"/>
                <w:lang w:val="en-US" w:eastAsia="zh-CN"/>
              </w:rPr>
              <w:t>绿源检字（2022）第0099-09号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121285</wp:posOffset>
                  </wp:positionV>
                  <wp:extent cx="815340" cy="403860"/>
                  <wp:effectExtent l="0" t="0" r="3810" b="15240"/>
                  <wp:wrapNone/>
                  <wp:docPr id="6" name="图片 6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2022.11.29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123190</wp:posOffset>
                  </wp:positionV>
                  <wp:extent cx="815340" cy="403860"/>
                  <wp:effectExtent l="0" t="0" r="3810" b="15240"/>
                  <wp:wrapNone/>
                  <wp:docPr id="7" name="图片 7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2022.11.29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231"/>
        <w:gridCol w:w="1302"/>
        <w:gridCol w:w="1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雪花啤酒（凉山）有限公司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</w:t>
            </w:r>
            <w:r>
              <w:rPr>
                <w:b/>
                <w:sz w:val="20"/>
              </w:rPr>
              <w:t>：03.10.05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（啤酒的制造）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103505</wp:posOffset>
                  </wp:positionV>
                  <wp:extent cx="561975" cy="280035"/>
                  <wp:effectExtent l="0" t="0" r="9525" b="5715"/>
                  <wp:wrapNone/>
                  <wp:docPr id="4" name="图片 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网络视频培训11月29日19：30-20：00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产品生产工艺流程图: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酿造为关键过程。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不可接受风险：1）火灾；2）爆炸（氨气、天然气、压力容器等）；3）触电；4）意外伤害（高坠、烫伤、冻伤、酸碱腐蚀、爆瓶等伤害）；5）中毒；6）噪声；7）职业病（噪声、粉尘等）。</w:t>
            </w:r>
          </w:p>
          <w:p>
            <w:pPr>
              <w:pStyle w:val="2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控制措施：</w:t>
            </w:r>
          </w:p>
          <w:p>
            <w:pPr>
              <w:pStyle w:val="2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1）配置完善消防器材、报警装置、定期检测压力设备预防火灾、</w:t>
            </w:r>
            <w:r>
              <w:rPr>
                <w:rFonts w:hint="eastAsia"/>
                <w:lang w:val="en-US" w:eastAsia="zh-CN"/>
              </w:rPr>
              <w:t>爆炸的发生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负压压抽风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</w:rPr>
              <w:t>洗眼器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围栏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等设备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控制中毒、</w:t>
            </w:r>
            <w:r>
              <w:rPr>
                <w:rFonts w:hint="eastAsia"/>
                <w:lang w:val="en-US" w:eastAsia="zh-CN"/>
              </w:rPr>
              <w:t>爆瓶等造成意外伤害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</w:pP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作业人员穿戴工作服、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防毒面罩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、耳塞、手套等防护用品防护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职业伤害等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4"/>
                <w:szCs w:val="24"/>
                <w:lang w:val="en-US" w:eastAsia="zh-CN" w:bidi="ar-SA"/>
              </w:rPr>
              <w:t>中华人民共和国安全消防法、中华人民共和国劳动合同法、中华人民共和国安全生产法、中华人民共和国职业病防治法、GB/T4927啤酒等标准。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方正仿宋简体" w:eastAsia="方正仿宋简体"/>
                <w:szCs w:val="21"/>
                <w:highlight w:val="none"/>
                <w:lang w:val="en-US" w:eastAsia="zh-CN"/>
              </w:rPr>
              <w:t>公司于</w:t>
            </w:r>
            <w:r>
              <w:rPr>
                <w:rFonts w:hint="eastAsia" w:ascii="方正仿宋简体" w:eastAsia="方正仿宋简体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方正仿宋简体" w:eastAsia="方正仿宋简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方正仿宋简体" w:eastAsia="方正仿宋简体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方正仿宋简体" w:eastAsia="方正仿宋简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方正仿宋简体" w:eastAsia="方正仿宋简体"/>
                <w:szCs w:val="21"/>
                <w:highlight w:val="none"/>
                <w:lang w:val="en-US" w:eastAsia="zh-CN"/>
              </w:rPr>
              <w:t>11月17日委托</w:t>
            </w:r>
            <w:r>
              <w:rPr>
                <w:rFonts w:hint="eastAsia" w:ascii="方正仿宋简体" w:eastAsia="方正仿宋简体"/>
                <w:szCs w:val="21"/>
                <w:highlight w:val="none"/>
              </w:rPr>
              <w:t>四川泰安生科技咨询有限公司</w:t>
            </w:r>
            <w:r>
              <w:rPr>
                <w:rFonts w:hint="eastAsia" w:ascii="方正仿宋简体" w:eastAsia="方正仿宋简体"/>
                <w:szCs w:val="21"/>
                <w:highlight w:val="none"/>
                <w:lang w:val="en-US" w:eastAsia="zh-CN"/>
              </w:rPr>
              <w:t>来公司现场作</w:t>
            </w:r>
            <w:r>
              <w:rPr>
                <w:rFonts w:hint="eastAsia" w:ascii="方正仿宋简体" w:eastAsia="方正仿宋简体"/>
                <w:szCs w:val="21"/>
                <w:highlight w:val="none"/>
                <w:lang w:eastAsia="zh-CN"/>
              </w:rPr>
              <w:t>职业危害因素现场检测，</w:t>
            </w:r>
            <w:r>
              <w:rPr>
                <w:rFonts w:hint="eastAsia" w:ascii="方正仿宋简体" w:eastAsia="方正仿宋简体"/>
                <w:szCs w:val="21"/>
                <w:highlight w:val="none"/>
              </w:rPr>
              <w:t>检测项目：职业病防护、职业病接触、化学有害物质检测结果等。检测结论：符合。</w:t>
            </w:r>
            <w:r>
              <w:rPr>
                <w:rFonts w:hint="eastAsia" w:ascii="方正仿宋简体" w:eastAsia="方正仿宋简体"/>
                <w:szCs w:val="21"/>
                <w:highlight w:val="none"/>
                <w:lang w:eastAsia="zh-CN"/>
              </w:rPr>
              <w:t>报告</w:t>
            </w:r>
            <w:r>
              <w:rPr>
                <w:rFonts w:hint="eastAsia" w:ascii="方正仿宋简体" w:eastAsia="方正仿宋简体"/>
                <w:szCs w:val="21"/>
                <w:highlight w:val="none"/>
                <w:lang w:val="en-US" w:eastAsia="zh-CN"/>
              </w:rPr>
              <w:t>正在出具</w:t>
            </w:r>
            <w:r>
              <w:rPr>
                <w:rFonts w:hint="eastAsia" w:ascii="方正仿宋简体" w:eastAsia="方正仿宋简体"/>
                <w:szCs w:val="21"/>
                <w:highlight w:val="none"/>
                <w:lang w:eastAsia="zh-CN"/>
              </w:rPr>
              <w:t>中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121285</wp:posOffset>
                  </wp:positionV>
                  <wp:extent cx="815340" cy="403860"/>
                  <wp:effectExtent l="0" t="0" r="3810" b="15240"/>
                  <wp:wrapNone/>
                  <wp:docPr id="10" name="图片 10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2022.11.29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123190</wp:posOffset>
                  </wp:positionV>
                  <wp:extent cx="815340" cy="403860"/>
                  <wp:effectExtent l="0" t="0" r="3810" b="15240"/>
                  <wp:wrapNone/>
                  <wp:docPr id="11" name="图片 1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2022.11.29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8C78B"/>
    <w:multiLevelType w:val="singleLevel"/>
    <w:tmpl w:val="31F8C78B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E3A4254"/>
    <w:rsid w:val="61042ED4"/>
    <w:rsid w:val="668F4A03"/>
    <w:rsid w:val="6A433954"/>
    <w:rsid w:val="7AEA7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1377</Words>
  <Characters>1549</Characters>
  <Lines>2</Lines>
  <Paragraphs>1</Paragraphs>
  <TotalTime>0</TotalTime>
  <ScaleCrop>false</ScaleCrop>
  <LinksUpToDate>false</LinksUpToDate>
  <CharactersWithSpaces>1560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2022-12-02T08:16:44Z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