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雪花啤酒（凉山）有限公司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西昌市宁远桥街宁星路2幢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西昌市宁远桥街宁星路2幢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邓雨琼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13618172510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吴宗奇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1320-2021-EO-2022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</w:rPr>
              <w:t>■</w:t>
            </w:r>
            <w:r>
              <w:rPr>
                <w:rFonts w:hint="eastAsia" w:ascii="宋体"/>
                <w:b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</w:rPr>
              <w:t>■</w:t>
            </w:r>
            <w:r>
              <w:rPr>
                <w:rFonts w:hint="eastAsia" w:ascii="宋体"/>
                <w:b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</w:rPr>
              <w:t>■</w:t>
            </w:r>
            <w:r>
              <w:rPr>
                <w:rFonts w:hint="eastAsia" w:ascii="宋体"/>
                <w:b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E：雪花啤酒的生产所涉及场所的相关环境管理活动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E：03.10.05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 xml:space="preserve">2022年11月30日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 xml:space="preserve">午至2022年12月01日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68580</wp:posOffset>
                  </wp:positionV>
                  <wp:extent cx="815340" cy="403860"/>
                  <wp:effectExtent l="0" t="0" r="3810" b="15240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</w:pPr>
      <w:r>
        <w:rPr>
          <w:rFonts w:hint="eastAsia" w:ascii="宋体" w:hAnsi="宋体"/>
          <w:b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980" w:tblpY="624"/>
        <w:tblOverlap w:val="never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87"/>
        <w:gridCol w:w="1375"/>
        <w:gridCol w:w="545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5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825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1" w:hRule="atLeast"/>
        </w:trPr>
        <w:tc>
          <w:tcPr>
            <w:tcW w:w="68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5" w:type="dxa"/>
          </w:tcPr>
          <w:p>
            <w:pPr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450" w:type="dxa"/>
          </w:tcPr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总则；10.3持续改进。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9.1监视、测量、分析和评价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</w:rPr>
              <w:t>改进 总则；10.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持续改进。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范围的确认，资质的确认，管理体系变化情况、法律法规执行情况，重大环境事故及职业健康安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全投诉情况，认证证书及标识使用情况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验证。</w:t>
            </w:r>
          </w:p>
          <w:p>
            <w:pPr>
              <w:pStyle w:val="2"/>
            </w:pP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冉景洲（手机、微信）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68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5" w:type="dxa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450" w:type="dxa"/>
          </w:tcPr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bookmarkStart w:id="36" w:name="_GoBack"/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.3组织的角色、职责和权限；6.1.2环境因素；6.1.3合规义务；6.2目标及其达成的策划；8.1运行策划和控制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；8.2应急准备和响应；9.1监视、测量、分析与评估；9.1.2符合性评估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9.2内部审核；10.2不符合和纠正措施；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事件、不符合和纠正措施；</w:t>
            </w:r>
          </w:p>
          <w:bookmarkEnd w:id="36"/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</w:trPr>
        <w:tc>
          <w:tcPr>
            <w:tcW w:w="68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375" w:type="dxa"/>
            <w:vAlign w:val="top"/>
          </w:tcPr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酿造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450" w:type="dxa"/>
            <w:vAlign w:val="top"/>
          </w:tcPr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EMS：</w:t>
            </w:r>
          </w:p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5.3组织的角色、职责和权限；6.1.2环境因素；6.2目标及其达成的策划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杨珍全（手机、微信）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</w:trPr>
        <w:tc>
          <w:tcPr>
            <w:tcW w:w="6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8:30-14:00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375" w:type="dxa"/>
          </w:tcPr>
          <w:p>
            <w:pPr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50" w:type="dxa"/>
          </w:tcPr>
          <w:p>
            <w:pPr>
              <w:spacing w:line="240" w:lineRule="auto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240" w:lineRule="auto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冉景洲（手机、微信）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6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5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财务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450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EMS：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5.3组织的角色、职责和权限；6.2目标及其达成的策划；8.1运行策划和控制；EMS运行控制相关财务支出证据。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5.3组织的角色、职责和权限；6.2目标及其达成的策划；8.1运行策划和控制；</w:t>
            </w:r>
            <w:r>
              <w:rPr>
                <w:rFonts w:hint="eastAsia" w:ascii="宋体" w:hAnsi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OHSMS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运行控制相关财务支出证据。</w:t>
            </w:r>
          </w:p>
          <w:p>
            <w:pPr>
              <w:pStyle w:val="2"/>
              <w:rPr>
                <w:rFonts w:hint="eastAsia" w:ascii="宋体" w:hAnsi="宋体" w:eastAsia="宋体" w:cs="新宋体"/>
                <w:bCs/>
                <w:spacing w:val="1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（手机、微信）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68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7" w:type="dxa"/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25" w:type="dxa"/>
            <w:gridSpan w:val="2"/>
            <w:vAlign w:val="center"/>
          </w:tcPr>
          <w:p>
            <w:pPr>
              <w:snapToGrid w:val="0"/>
              <w:spacing w:line="240" w:lineRule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40947B8"/>
    <w:rsid w:val="3FAB74DD"/>
    <w:rsid w:val="492434DC"/>
    <w:rsid w:val="5E3B6EA6"/>
    <w:rsid w:val="5EE74938"/>
    <w:rsid w:val="6EDA6267"/>
    <w:rsid w:val="70440E36"/>
    <w:rsid w:val="70485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2148</Words>
  <Characters>3013</Characters>
  <Lines>37</Lines>
  <Paragraphs>10</Paragraphs>
  <TotalTime>10</TotalTime>
  <ScaleCrop>false</ScaleCrop>
  <LinksUpToDate>false</LinksUpToDate>
  <CharactersWithSpaces>3070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2022-11-30T07:27:09Z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