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40" w:lineRule="auto"/>
        <w:jc w:val="left"/>
        <w:rPr>
          <w:b/>
          <w:bCs/>
          <w:sz w:val="24"/>
        </w:rPr>
      </w:pPr>
      <w:r>
        <w:rPr>
          <w:b/>
          <w:bCs/>
          <w:sz w:val="24"/>
        </w:rPr>
        <w:t>附录A：</w:t>
      </w:r>
    </w:p>
    <w:p>
      <w:pPr>
        <w:pStyle w:val="3"/>
        <w:spacing w:line="240" w:lineRule="auto"/>
        <w:jc w:val="center"/>
        <w:rPr>
          <w:b/>
          <w:bCs/>
          <w:color w:val="000000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/>
          <w:b/>
          <w:bCs/>
          <w:sz w:val="24"/>
        </w:rPr>
        <w:t>防爆断路器静态水压试验</w:t>
      </w:r>
      <w:r>
        <w:rPr>
          <w:rFonts w:hint="eastAsia" w:ascii="宋体" w:hAnsi="宋体" w:cs="宋体"/>
          <w:b/>
          <w:bCs/>
          <w:snapToGrid w:val="0"/>
          <w:color w:val="000000"/>
          <w:kern w:val="0"/>
          <w:sz w:val="24"/>
        </w:rPr>
        <w:t>不确定度评</w:t>
      </w:r>
      <w:r>
        <w:rPr>
          <w:b/>
          <w:bCs/>
          <w:snapToGrid w:val="0"/>
          <w:color w:val="000000"/>
          <w:kern w:val="0"/>
          <w:sz w:val="24"/>
        </w:rPr>
        <w:t>定报告</w:t>
      </w:r>
    </w:p>
    <w:p>
      <w:pPr>
        <w:spacing w:line="360" w:lineRule="auto"/>
        <w:rPr>
          <w:bCs/>
          <w:sz w:val="24"/>
        </w:rPr>
      </w:pPr>
      <w:r>
        <w:rPr>
          <w:bCs/>
          <w:sz w:val="24"/>
        </w:rPr>
        <w:t>1、测量过程</w:t>
      </w:r>
      <w:r>
        <w:rPr>
          <w:sz w:val="24"/>
        </w:rPr>
        <w:br w:type="textWrapping"/>
      </w:r>
      <w:r>
        <w:rPr>
          <w:bCs/>
          <w:sz w:val="24"/>
        </w:rPr>
        <w:t>1.1</w:t>
      </w:r>
      <w:r>
        <w:rPr>
          <w:sz w:val="24"/>
        </w:rPr>
        <w:t>、测量方法：依据</w:t>
      </w:r>
      <w:r>
        <w:rPr>
          <w:rFonts w:hint="eastAsia"/>
          <w:color w:val="0D0D0D" w:themeColor="text1" w:themeTint="F2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Q/SLHS.77-2018《BDZ51系列防爆断路器》</w:t>
      </w:r>
      <w:r>
        <w:rPr>
          <w:sz w:val="24"/>
        </w:rPr>
        <w:t>及仪器使用说明书和相关操作规范</w:t>
      </w:r>
      <w:r>
        <w:rPr>
          <w:bCs/>
          <w:sz w:val="24"/>
        </w:rPr>
        <w:t>进行测量。</w:t>
      </w:r>
    </w:p>
    <w:p>
      <w:pPr>
        <w:spacing w:line="360" w:lineRule="auto"/>
        <w:rPr>
          <w:sz w:val="24"/>
        </w:rPr>
      </w:pPr>
      <w:r>
        <w:rPr>
          <w:sz w:val="24"/>
        </w:rPr>
        <w:t>1.2、环境条件：常温</w:t>
      </w:r>
    </w:p>
    <w:p>
      <w:pPr>
        <w:pStyle w:val="16"/>
        <w:spacing w:line="360" w:lineRule="exact"/>
        <w:ind w:firstLine="0" w:firstLineChars="0"/>
        <w:rPr>
          <w:sz w:val="24"/>
        </w:rPr>
      </w:pPr>
      <w:r>
        <w:rPr>
          <w:color w:val="000000"/>
          <w:sz w:val="24"/>
        </w:rPr>
        <w:t>1.3、检测设备：</w:t>
      </w:r>
      <w:r>
        <w:rPr>
          <w:sz w:val="24"/>
        </w:rPr>
        <w:t>压力表， 测量范围（</w:t>
      </w:r>
      <w:r>
        <w:rPr>
          <w:color w:val="000000"/>
          <w:sz w:val="24"/>
          <w:shd w:val="clear" w:color="auto" w:fill="FFFFFF"/>
        </w:rPr>
        <w:t>0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</w:rPr>
        <w:t>～</w:t>
      </w:r>
      <w:r>
        <w:rPr>
          <w:rFonts w:hint="eastAsia"/>
          <w:color w:val="000000"/>
          <w:sz w:val="24"/>
          <w:shd w:val="clear" w:color="auto" w:fill="FFFFFF"/>
        </w:rPr>
        <w:t>2.5</w:t>
      </w:r>
      <w:r>
        <w:rPr>
          <w:color w:val="000000"/>
          <w:sz w:val="24"/>
          <w:shd w:val="clear" w:color="auto" w:fill="FFFFFF"/>
        </w:rPr>
        <w:t>）MPa</w:t>
      </w:r>
      <w:r>
        <w:rPr>
          <w:sz w:val="24"/>
        </w:rPr>
        <w:t>，</w:t>
      </w:r>
      <w:r>
        <w:rPr>
          <w:i/>
          <w:iCs/>
          <w:sz w:val="24"/>
        </w:rPr>
        <w:t>U</w:t>
      </w:r>
      <w:r>
        <w:rPr>
          <w:sz w:val="24"/>
        </w:rPr>
        <w:t>rel=</w:t>
      </w:r>
      <w:r>
        <w:rPr>
          <w:rFonts w:hint="eastAsia"/>
          <w:sz w:val="24"/>
          <w:lang w:val="en-US" w:eastAsia="zh-CN"/>
        </w:rPr>
        <w:t>1.6</w:t>
      </w:r>
      <w:r>
        <w:rPr>
          <w:sz w:val="24"/>
        </w:rPr>
        <w:t xml:space="preserve">% </w:t>
      </w:r>
      <w:r>
        <w:rPr>
          <w:i/>
          <w:iCs/>
          <w:sz w:val="24"/>
        </w:rPr>
        <w:t>k</w:t>
      </w:r>
      <w:r>
        <w:rPr>
          <w:sz w:val="24"/>
        </w:rPr>
        <w:t>=2,允许示值误差：±0.0</w:t>
      </w:r>
      <w:r>
        <w:rPr>
          <w:rFonts w:hint="eastAsia"/>
          <w:sz w:val="24"/>
        </w:rPr>
        <w:t>4</w:t>
      </w:r>
      <w:r>
        <w:rPr>
          <w:sz w:val="24"/>
        </w:rPr>
        <w:t>MPa</w:t>
      </w:r>
    </w:p>
    <w:p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1.4、被测对象：</w:t>
      </w:r>
      <w:r>
        <w:rPr>
          <w:rFonts w:hint="eastAsia"/>
          <w:szCs w:val="21"/>
        </w:rPr>
        <w:t>压力</w:t>
      </w:r>
      <w:r>
        <w:rPr>
          <w:rFonts w:ascii="Arial" w:hAnsi="Arial" w:cs="Arial"/>
          <w:szCs w:val="21"/>
        </w:rPr>
        <w:t>≥</w:t>
      </w:r>
      <w:r>
        <w:rPr>
          <w:rFonts w:hint="eastAsia" w:ascii="宋体" w:hAnsi="宋体" w:cs="宋体"/>
          <w:szCs w:val="21"/>
        </w:rPr>
        <w:t>1.5</w:t>
      </w:r>
      <w:r>
        <w:rPr>
          <w:sz w:val="24"/>
        </w:rPr>
        <w:t>MPa</w:t>
      </w:r>
    </w:p>
    <w:p>
      <w:pPr>
        <w:spacing w:line="360" w:lineRule="auto"/>
        <w:ind w:left="480" w:hanging="480" w:hangingChars="200"/>
        <w:rPr>
          <w:sz w:val="24"/>
        </w:rPr>
      </w:pPr>
      <w:r>
        <w:rPr>
          <w:color w:val="000000"/>
          <w:sz w:val="24"/>
        </w:rPr>
        <w:t>1.5、测量过程：</w:t>
      </w:r>
      <w:r>
        <w:rPr>
          <w:sz w:val="24"/>
        </w:rPr>
        <w:t xml:space="preserve"> </w:t>
      </w:r>
      <w:r>
        <w:rPr>
          <w:rFonts w:hint="eastAsia"/>
          <w:sz w:val="24"/>
        </w:rPr>
        <w:t>首先检查压力表处于正常工作状态。开始试验，升压速度应控</w:t>
      </w:r>
    </w:p>
    <w:p>
      <w:pPr>
        <w:spacing w:line="360" w:lineRule="auto"/>
        <w:ind w:left="480" w:hanging="480" w:hangingChars="200"/>
        <w:rPr>
          <w:sz w:val="24"/>
        </w:rPr>
      </w:pPr>
      <w:r>
        <w:rPr>
          <w:rFonts w:hint="eastAsia"/>
          <w:sz w:val="24"/>
        </w:rPr>
        <w:t>制在</w:t>
      </w:r>
      <w:r>
        <w:rPr>
          <w:rFonts w:ascii="Arial" w:hAnsi="Arial" w:cs="Arial"/>
          <w:szCs w:val="21"/>
        </w:rPr>
        <w:t>≥</w:t>
      </w:r>
      <w:r>
        <w:rPr>
          <w:rFonts w:hint="eastAsia" w:ascii="宋体" w:hAnsi="宋体" w:cs="宋体"/>
          <w:szCs w:val="21"/>
        </w:rPr>
        <w:t>1.5</w:t>
      </w:r>
      <w:r>
        <w:rPr>
          <w:rFonts w:hint="eastAsia"/>
          <w:sz w:val="24"/>
        </w:rPr>
        <w:t>MPa/min,试验时压力应缓慢上升1.5MPa，确认无泄漏后继续上升，</w:t>
      </w:r>
    </w:p>
    <w:p>
      <w:pPr>
        <w:spacing w:line="360" w:lineRule="auto"/>
        <w:ind w:left="480" w:hanging="480" w:hangingChars="200"/>
        <w:rPr>
          <w:bCs/>
          <w:color w:val="FF0000"/>
          <w:sz w:val="24"/>
        </w:rPr>
      </w:pPr>
      <w:r>
        <w:rPr>
          <w:rFonts w:hint="eastAsia"/>
          <w:sz w:val="24"/>
        </w:rPr>
        <w:t>记录压力数据。</w:t>
      </w:r>
    </w:p>
    <w:p>
      <w:pPr>
        <w:autoSpaceDE w:val="0"/>
        <w:autoSpaceDN w:val="0"/>
        <w:spacing w:line="360" w:lineRule="auto"/>
        <w:rPr>
          <w:sz w:val="24"/>
        </w:rPr>
      </w:pPr>
      <w:r>
        <w:rPr>
          <w:sz w:val="24"/>
        </w:rPr>
        <w:t xml:space="preserve">2、数学模型：   </w:t>
      </w:r>
      <m:oMath>
        <m:r>
          <m:rPr/>
          <w:rPr>
            <w:rFonts w:ascii="Cambria Math" w:hAnsi="Cambria Math"/>
            <w:position w:val="-4"/>
            <w:sz w:val="24"/>
          </w:rPr>
          <m:t>ΔL=L</m:t>
        </m:r>
      </m:oMath>
      <w:r>
        <w:rPr>
          <w:sz w:val="24"/>
        </w:rPr>
        <w:t xml:space="preserve">                                     （1）</w:t>
      </w:r>
    </w:p>
    <w:p>
      <w:pPr>
        <w:spacing w:line="360" w:lineRule="auto"/>
        <w:ind w:left="120"/>
        <w:rPr>
          <w:sz w:val="24"/>
        </w:rPr>
      </w:pPr>
      <w:r>
        <w:rPr>
          <w:sz w:val="24"/>
        </w:rPr>
        <w:t xml:space="preserve">          式中：</w:t>
      </w:r>
      <m:oMath>
        <m:r>
          <m:rPr/>
          <w:rPr>
            <w:rFonts w:ascii="Cambria Math" w:hAnsi="Cambria Math"/>
            <w:position w:val="-4"/>
            <w:sz w:val="24"/>
          </w:rPr>
          <m:t>ΔL</m:t>
        </m:r>
      </m:oMath>
      <w:r>
        <w:rPr>
          <w:sz w:val="24"/>
        </w:rPr>
        <w:t xml:space="preserve"> ---压力</w:t>
      </w:r>
    </w:p>
    <w:p>
      <w:pPr>
        <w:spacing w:line="360" w:lineRule="auto"/>
        <w:ind w:left="120" w:firstLine="1920" w:firstLineChars="800"/>
        <w:rPr>
          <w:sz w:val="24"/>
        </w:rPr>
      </w:pPr>
      <w:r>
        <w:rPr>
          <w:sz w:val="24"/>
        </w:rPr>
        <w:t>L----压力的读数值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b/>
          <w:sz w:val="24"/>
        </w:rPr>
        <w:t>输入量的标准不确定度评定</w:t>
      </w:r>
    </w:p>
    <w:p>
      <w:pPr>
        <w:spacing w:line="360" w:lineRule="auto"/>
        <w:ind w:firstLine="480" w:firstLineChars="200"/>
        <w:rPr>
          <w:bCs/>
          <w:sz w:val="24"/>
        </w:rPr>
      </w:pPr>
      <w:r>
        <w:rPr>
          <w:sz w:val="24"/>
        </w:rPr>
        <w:t>输入量的不确定度来源主要是：测量重复性引起的不确定度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m:rPr/>
              <w:rPr>
                <w:rFonts w:ascii="Cambria Math" w:hAnsi="Cambria Math"/>
                <w:sz w:val="24"/>
              </w:rPr>
              <m:t>u</m:t>
            </m:r>
            <m:ctrlPr>
              <w:rPr>
                <w:rFonts w:ascii="Cambria Math" w:hAnsi="Cambria Math"/>
                <w:i/>
                <w:sz w:val="24"/>
              </w:rPr>
            </m:ctrlPr>
          </m:e>
          <m:sub>
            <m:r>
              <m:rPr/>
              <w:rPr>
                <w:rFonts w:ascii="Cambria Math" w:hAnsi="Cambria Math"/>
                <w:sz w:val="24"/>
              </w:rPr>
              <m:t>1</m:t>
            </m:r>
            <m:ctrlPr>
              <w:rPr>
                <w:rFonts w:ascii="Cambria Math" w:hAnsi="Cambria Math"/>
                <w:i/>
                <w:sz w:val="24"/>
              </w:rPr>
            </m:ctrlPr>
          </m:sub>
        </m:sSub>
      </m:oMath>
      <w:r>
        <w:rPr>
          <w:b/>
          <w:bCs/>
          <w:sz w:val="24"/>
        </w:rPr>
        <w:t>；</w:t>
      </w:r>
      <w:r>
        <w:rPr>
          <w:bCs/>
          <w:sz w:val="24"/>
        </w:rPr>
        <w:t>测量设备</w:t>
      </w:r>
      <w:r>
        <w:rPr>
          <w:sz w:val="24"/>
        </w:rPr>
        <w:t>引入的标准不确定度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4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 w:val="24"/>
              </w:rPr>
              <m:t>u</m:t>
            </m:r>
            <m:ctrlPr>
              <w:rPr>
                <w:rFonts w:ascii="Cambria Math" w:hAnsi="Cambria Math"/>
                <w:i/>
                <w:color w:val="000000"/>
                <w:sz w:val="24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 w:val="24"/>
              </w:rPr>
              <m:t>2</m:t>
            </m:r>
            <m:ctrlPr>
              <w:rPr>
                <w:rFonts w:ascii="Cambria Math" w:hAnsi="Cambria Math"/>
                <w:i/>
                <w:color w:val="000000"/>
                <w:sz w:val="24"/>
              </w:rPr>
            </m:ctrlPr>
          </m:sub>
        </m:sSub>
      </m:oMath>
      <w:r>
        <w:rPr>
          <w:bCs/>
          <w:sz w:val="24"/>
        </w:rPr>
        <w:t>。</w:t>
      </w:r>
    </w:p>
    <w:p>
      <w:pPr>
        <w:spacing w:line="360" w:lineRule="auto"/>
        <w:rPr>
          <w:sz w:val="24"/>
        </w:rPr>
      </w:pPr>
      <w:r>
        <w:rPr>
          <w:sz w:val="24"/>
        </w:rPr>
        <w:t>3.1测量重复性引入的标准不确定度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m:rPr/>
              <w:rPr>
                <w:rFonts w:ascii="Cambria Math" w:hAnsi="Cambria Math"/>
                <w:sz w:val="24"/>
              </w:rPr>
              <m:t>u</m:t>
            </m:r>
            <m:ctrlPr>
              <w:rPr>
                <w:rFonts w:ascii="Cambria Math" w:hAnsi="Cambria Math"/>
                <w:i/>
                <w:sz w:val="24"/>
              </w:rPr>
            </m:ctrlPr>
          </m:e>
          <m:sub>
            <m:r>
              <m:rPr/>
              <w:rPr>
                <w:rFonts w:ascii="Cambria Math" w:hAnsi="Cambria Math"/>
                <w:sz w:val="24"/>
              </w:rPr>
              <m:t>1</m:t>
            </m:r>
            <m:ctrlPr>
              <w:rPr>
                <w:rFonts w:ascii="Cambria Math" w:hAnsi="Cambria Math"/>
                <w:i/>
                <w:sz w:val="24"/>
              </w:rPr>
            </m:ctrlPr>
          </m:sub>
        </m:sSub>
      </m:oMath>
      <w:r>
        <w:rPr>
          <w:sz w:val="24"/>
        </w:rPr>
        <w:t>的评定</w:t>
      </w:r>
    </w:p>
    <w:p>
      <w:pPr>
        <w:spacing w:line="360" w:lineRule="auto"/>
        <w:ind w:right="-29" w:rightChars="-14" w:firstLine="480" w:firstLineChars="200"/>
        <w:rPr>
          <w:sz w:val="24"/>
        </w:rPr>
      </w:pPr>
      <w:r>
        <w:rPr>
          <w:sz w:val="24"/>
        </w:rPr>
        <w:t>输入量的不确定度</w:t>
      </w:r>
      <w:r>
        <w:rPr>
          <w:i/>
          <w:iCs/>
          <w:sz w:val="24"/>
        </w:rPr>
        <w:t>u</w:t>
      </w:r>
      <w:r>
        <w:rPr>
          <w:sz w:val="24"/>
          <w:vertAlign w:val="subscript"/>
        </w:rPr>
        <w:t>1</w:t>
      </w:r>
      <w:r>
        <w:rPr>
          <w:sz w:val="24"/>
        </w:rPr>
        <w:t>主要来源于测量重复性，通过连续测量10次，采用A类方法进行评定。在接地电阻测定仪的正常工作状态下，人员、设备相同，在相临近的时间内，连续进行10次测量活动，得到10个试验数据汇于表一。</w:t>
      </w:r>
    </w:p>
    <w:p>
      <w:pPr>
        <w:widowControl/>
        <w:tabs>
          <w:tab w:val="left" w:pos="8280"/>
        </w:tabs>
        <w:adjustRightInd w:val="0"/>
        <w:spacing w:line="360" w:lineRule="auto"/>
        <w:ind w:left="-720" w:leftChars="-343" w:right="-512" w:rightChars="-244" w:firstLine="359"/>
        <w:jc w:val="center"/>
        <w:rPr>
          <w:sz w:val="24"/>
        </w:rPr>
      </w:pPr>
      <w:r>
        <w:rPr>
          <w:kern w:val="0"/>
          <w:sz w:val="24"/>
        </w:rPr>
        <w:t>表一</w:t>
      </w:r>
      <w:r>
        <w:rPr>
          <w:sz w:val="24"/>
        </w:rPr>
        <w:t xml:space="preserve">                                         </w:t>
      </w:r>
    </w:p>
    <w:tbl>
      <w:tblPr>
        <w:tblStyle w:val="6"/>
        <w:tblW w:w="89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680"/>
        <w:gridCol w:w="681"/>
        <w:gridCol w:w="754"/>
        <w:gridCol w:w="754"/>
        <w:gridCol w:w="714"/>
        <w:gridCol w:w="714"/>
        <w:gridCol w:w="718"/>
        <w:gridCol w:w="719"/>
        <w:gridCol w:w="765"/>
        <w:gridCol w:w="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39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680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1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54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54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18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39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L(MPa)</w:t>
            </w:r>
          </w:p>
        </w:tc>
        <w:tc>
          <w:tcPr>
            <w:tcW w:w="680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1.50</w:t>
            </w:r>
          </w:p>
        </w:tc>
        <w:tc>
          <w:tcPr>
            <w:tcW w:w="681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1.56</w:t>
            </w:r>
          </w:p>
        </w:tc>
        <w:tc>
          <w:tcPr>
            <w:tcW w:w="754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1.56</w:t>
            </w:r>
          </w:p>
        </w:tc>
        <w:tc>
          <w:tcPr>
            <w:tcW w:w="754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1.56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1.56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1.50</w:t>
            </w:r>
          </w:p>
        </w:tc>
        <w:tc>
          <w:tcPr>
            <w:tcW w:w="718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1.52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1.50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1.56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1.50</w:t>
            </w:r>
          </w:p>
        </w:tc>
      </w:tr>
    </w:tbl>
    <w:p>
      <w:pPr>
        <w:spacing w:line="360" w:lineRule="auto"/>
        <w:ind w:right="-29" w:rightChars="-14" w:firstLine="540" w:firstLineChars="225"/>
        <w:jc w:val="center"/>
        <w:rPr>
          <w:kern w:val="0"/>
          <w:sz w:val="24"/>
        </w:rPr>
      </w:pPr>
    </w:p>
    <w:p>
      <w:pPr>
        <w:spacing w:line="360" w:lineRule="auto"/>
        <w:ind w:firstLine="480" w:firstLineChars="200"/>
        <w:rPr>
          <w:position w:val="-22"/>
          <w:sz w:val="24"/>
        </w:rPr>
      </w:pPr>
      <w:r>
        <w:rPr>
          <w:sz w:val="24"/>
        </w:rPr>
        <w:t>测得值的算术平均值：</w:t>
      </w:r>
      <w:r>
        <w:rPr>
          <w:position w:val="-24"/>
          <w:sz w:val="24"/>
        </w:rPr>
        <w:object>
          <v:shape id="_x0000_i1025" o:spt="75" type="#_x0000_t75" style="height:42pt;width:156pt;" o:ole="t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5">
            <o:LockedField>false</o:LockedField>
          </o:OLEObject>
        </w:object>
      </w:r>
    </w:p>
    <w:p>
      <w:pPr>
        <w:spacing w:line="360" w:lineRule="auto"/>
        <w:ind w:firstLine="480" w:firstLineChars="200"/>
        <w:rPr>
          <w:kern w:val="0"/>
          <w:sz w:val="24"/>
        </w:rPr>
      </w:pPr>
      <w:r>
        <w:rPr>
          <w:kern w:val="0"/>
          <w:sz w:val="24"/>
        </w:rPr>
        <w:t>单个测量值的实验标准差：</w:t>
      </w:r>
      <w:r>
        <w:rPr>
          <w:kern w:val="0"/>
          <w:position w:val="-26"/>
          <w:sz w:val="24"/>
        </w:rPr>
        <w:object>
          <v:shape id="_x0000_i1026" o:spt="75" type="#_x0000_t75" style="height:43pt;width:172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7">
            <o:LockedField>false</o:LockedField>
          </o:OLEObject>
        </w:object>
      </w:r>
    </w:p>
    <w:p>
      <w:pPr>
        <w:widowControl/>
        <w:tabs>
          <w:tab w:val="center" w:pos="4360"/>
          <w:tab w:val="right" w:pos="8300"/>
        </w:tabs>
        <w:spacing w:line="360" w:lineRule="auto"/>
        <w:ind w:firstLine="480" w:firstLineChars="200"/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被测量估计值（</w:t>
      </w:r>
      <w:r>
        <w:rPr>
          <w:color w:val="000000" w:themeColor="text1"/>
          <w:kern w:val="0"/>
          <w:position w:val="-4"/>
          <w:sz w:val="24"/>
          <w14:textFill>
            <w14:solidFill>
              <w14:schemeClr w14:val="tx1"/>
            </w14:solidFill>
          </w14:textFill>
        </w:rPr>
        <w:object>
          <v:shape id="_x0000_i1027" o:spt="75" type="#_x0000_t75" style="height:17pt;width:12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9">
            <o:LockedField>false</o:LockedField>
          </o:OLEObject>
        </w:object>
      </w:r>
      <w:r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）标准不确定度分量</w:t>
      </w:r>
      <w:r>
        <w:rPr>
          <w:i/>
          <w:iCs/>
          <w:color w:val="000000" w:themeColor="text1"/>
          <w:sz w:val="24"/>
          <w14:textFill>
            <w14:solidFill>
              <w14:schemeClr w14:val="tx1"/>
            </w14:solidFill>
          </w14:textFill>
        </w:rPr>
        <w:t>u</w:t>
      </w:r>
      <w:r>
        <w:rPr>
          <w:color w:val="000000" w:themeColor="text1"/>
          <w:sz w:val="24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（</w:t>
      </w:r>
      <w:r>
        <w:rPr>
          <w:color w:val="000000" w:themeColor="text1"/>
          <w:kern w:val="0"/>
          <w:position w:val="-4"/>
          <w:sz w:val="24"/>
          <w14:textFill>
            <w14:solidFill>
              <w14:schemeClr w14:val="tx1"/>
            </w14:solidFill>
          </w14:textFill>
        </w:rPr>
        <w:object>
          <v:shape id="_x0000_i1028" o:spt="75" type="#_x0000_t75" style="height:17pt;width:12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1">
            <o:LockedField>false</o:LockedField>
          </o:OLEObject>
        </w:object>
      </w:r>
      <w:r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为1组数据的平均值，</w:t>
      </w:r>
    </w:p>
    <w:p>
      <w:pPr>
        <w:widowControl/>
        <w:tabs>
          <w:tab w:val="center" w:pos="4360"/>
          <w:tab w:val="right" w:pos="8300"/>
        </w:tabs>
        <w:spacing w:line="360" w:lineRule="auto"/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 xml:space="preserve">取n=1）。             </w:t>
      </w:r>
      <w:r>
        <w:rPr>
          <w:i/>
          <w:iCs/>
          <w:color w:val="000000" w:themeColor="text1"/>
          <w:sz w:val="24"/>
          <w14:textFill>
            <w14:solidFill>
              <w14:schemeClr w14:val="tx1"/>
            </w14:solidFill>
          </w14:textFill>
        </w:rPr>
        <w:t>u</w:t>
      </w:r>
      <w:r>
        <w:rPr>
          <w:color w:val="000000" w:themeColor="text1"/>
          <w:sz w:val="24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 xml:space="preserve"> =</w:t>
      </w:r>
      <w:r>
        <w:rPr>
          <w:color w:val="0D0D0D" w:themeColor="text1" w:themeTint="F2"/>
          <w:kern w:val="0"/>
          <w:position w:val="-28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object>
          <v:shape id="_x0000_i1029" o:spt="75" type="#_x0000_t75" style="height:33pt;width:122.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KSEE3" ShapeID="_x0000_i1029" DrawAspect="Content" ObjectID="_1468075729" r:id="rId12">
            <o:LockedField>false</o:LockedField>
          </o:OLEObject>
        </w:object>
      </w:r>
    </w:p>
    <w:p>
      <w:pPr>
        <w:spacing w:line="360" w:lineRule="auto"/>
        <w:rPr>
          <w:i/>
          <w:sz w:val="24"/>
        </w:rPr>
      </w:pPr>
      <w:r>
        <w:rPr>
          <w:sz w:val="24"/>
        </w:rPr>
        <w:t>3.2测量设备引入的标准不确定度的评定</w:t>
      </w:r>
      <w:r>
        <w:rPr>
          <w:i/>
          <w:sz w:val="24"/>
        </w:rPr>
        <w:t>u</w:t>
      </w:r>
      <w:r>
        <w:rPr>
          <w:i/>
          <w:sz w:val="24"/>
          <w:vertAlign w:val="subscript"/>
        </w:rPr>
        <w:t>2</w:t>
      </w:r>
    </w:p>
    <w:p>
      <w:pPr>
        <w:widowControl/>
        <w:adjustRightInd w:val="0"/>
        <w:spacing w:line="360" w:lineRule="auto"/>
        <w:ind w:firstLine="480" w:firstLineChars="200"/>
        <w:rPr>
          <w:sz w:val="24"/>
        </w:rPr>
      </w:pPr>
      <w:r>
        <w:rPr>
          <w:sz w:val="24"/>
        </w:rPr>
        <w:t>依据压力表校准证书给出的允许示值误差±0.0</w:t>
      </w:r>
      <w:r>
        <w:rPr>
          <w:rFonts w:hint="eastAsia"/>
          <w:sz w:val="24"/>
        </w:rPr>
        <w:t>4</w:t>
      </w:r>
      <w:r>
        <w:rPr>
          <w:sz w:val="24"/>
        </w:rPr>
        <w:t>MPa, 服从均匀分布，取包含因子k=</w:t>
      </w:r>
      <w:r>
        <w:rPr>
          <w:position w:val="-8"/>
          <w:sz w:val="24"/>
        </w:rPr>
        <w:object>
          <v:shape id="_x0000_i1030" o:spt="75" type="#_x0000_t75" style="height:18pt;width:18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KSEE3" ShapeID="_x0000_i1030" DrawAspect="Content" ObjectID="_1468075730" r:id="rId14">
            <o:LockedField>false</o:LockedField>
          </o:OLEObject>
        </w:object>
      </w:r>
      <w:r>
        <w:rPr>
          <w:sz w:val="24"/>
        </w:rPr>
        <w:t>,则测量设备引入的标准不确定度分量为：</w:t>
      </w:r>
    </w:p>
    <w:p>
      <w:pPr>
        <w:widowControl/>
        <w:tabs>
          <w:tab w:val="left" w:pos="1830"/>
        </w:tabs>
        <w:adjustRightInd w:val="0"/>
        <w:spacing w:line="360" w:lineRule="auto"/>
        <w:ind w:right="-153" w:rightChars="-73" w:firstLine="2880" w:firstLineChars="1200"/>
        <w:rPr>
          <w:sz w:val="24"/>
        </w:rPr>
      </w:pPr>
      <m:oMath>
        <m:sSub>
          <m:sSubPr>
            <m:ctrlPr>
              <w:rPr>
                <w:rFonts w:ascii="Cambria Math" w:hAnsi="Cambria Math"/>
                <w:i/>
                <w:kern w:val="0"/>
                <w:sz w:val="24"/>
              </w:rPr>
            </m:ctrlPr>
          </m:sSubPr>
          <m:e>
            <m:r>
              <m:rPr/>
              <w:rPr>
                <w:rFonts w:ascii="Cambria Math" w:hAnsi="Cambria Math"/>
                <w:kern w:val="0"/>
                <w:sz w:val="24"/>
              </w:rPr>
              <m:t>u</m:t>
            </m:r>
            <m:ctrlPr>
              <w:rPr>
                <w:rFonts w:ascii="Cambria Math" w:hAnsi="Cambria Math"/>
                <w:i/>
                <w:kern w:val="0"/>
                <w:sz w:val="24"/>
              </w:rPr>
            </m:ctrlPr>
          </m:e>
          <m:sub>
            <m:r>
              <m:rPr/>
              <w:rPr>
                <w:rFonts w:ascii="Cambria Math" w:hAnsi="Cambria Math"/>
                <w:kern w:val="0"/>
                <w:sz w:val="24"/>
              </w:rPr>
              <m:t>2</m:t>
            </m:r>
            <m:ctrlPr>
              <w:rPr>
                <w:rFonts w:ascii="Cambria Math" w:hAnsi="Cambria Math"/>
                <w:i/>
                <w:kern w:val="0"/>
                <w:sz w:val="24"/>
              </w:rPr>
            </m:ctrlPr>
          </m:sub>
        </m:sSub>
        <m:r>
          <m:rPr/>
          <w:rPr>
            <w:rFonts w:ascii="Cambria Math" w:hAnsi="Cambria Math"/>
            <w:kern w:val="0"/>
            <w:sz w:val="24"/>
          </w:rPr>
          <m:t>=</m:t>
        </m:r>
      </m:oMath>
      <w:r>
        <w:rPr>
          <w:kern w:val="0"/>
          <w:position w:val="-28"/>
          <w:sz w:val="24"/>
        </w:rPr>
        <w:object>
          <v:shape id="_x0000_i1031" o:spt="75" type="#_x0000_t75" style="height:33pt;width:108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KSEE3" ShapeID="_x0000_i1031" DrawAspect="Content" ObjectID="_1468075731" r:id="rId16">
            <o:LockedField>false</o:LockedField>
          </o:OLEObject>
        </w:object>
      </w:r>
    </w:p>
    <w:p>
      <w:pPr>
        <w:widowControl/>
        <w:tabs>
          <w:tab w:val="left" w:pos="1830"/>
        </w:tabs>
        <w:adjustRightInd w:val="0"/>
        <w:spacing w:line="360" w:lineRule="auto"/>
        <w:ind w:right="-153" w:rightChars="-73"/>
        <w:rPr>
          <w:sz w:val="24"/>
        </w:rPr>
      </w:pPr>
    </w:p>
    <w:p>
      <w:pPr>
        <w:widowControl/>
        <w:tabs>
          <w:tab w:val="left" w:pos="1830"/>
        </w:tabs>
        <w:adjustRightInd w:val="0"/>
        <w:spacing w:line="360" w:lineRule="auto"/>
        <w:ind w:right="-153" w:rightChars="-73"/>
        <w:rPr>
          <w:sz w:val="24"/>
        </w:rPr>
      </w:pPr>
      <w:r>
        <w:rPr>
          <w:sz w:val="24"/>
        </w:rPr>
        <w:t>4、标准不确定度一览表</w:t>
      </w:r>
    </w:p>
    <w:p>
      <w:pPr>
        <w:spacing w:line="360" w:lineRule="auto"/>
        <w:rPr>
          <w:sz w:val="24"/>
        </w:rPr>
      </w:pPr>
      <w:r>
        <w:rPr>
          <w:sz w:val="24"/>
        </w:rPr>
        <w:t>4.1标准不确定度汇总表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输入量的标准不确定度汇总于表2。</w:t>
      </w:r>
    </w:p>
    <w:p>
      <w:pPr>
        <w:spacing w:line="360" w:lineRule="auto"/>
        <w:jc w:val="center"/>
        <w:rPr>
          <w:sz w:val="24"/>
        </w:rPr>
      </w:pPr>
      <w:r>
        <w:rPr>
          <w:sz w:val="24"/>
        </w:rPr>
        <w:t>表2   标准不确定度汇总表</w:t>
      </w:r>
    </w:p>
    <w:tbl>
      <w:tblPr>
        <w:tblStyle w:val="6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4400"/>
        <w:gridCol w:w="1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6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标准不确定度分量</w:t>
            </w:r>
          </w:p>
        </w:tc>
        <w:tc>
          <w:tcPr>
            <w:tcW w:w="440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不确定度来源</w:t>
            </w:r>
          </w:p>
        </w:tc>
        <w:tc>
          <w:tcPr>
            <w:tcW w:w="187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不确定度值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6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标准不确定度u</w:t>
            </w:r>
            <w:r>
              <w:rPr>
                <w:sz w:val="24"/>
                <w:vertAlign w:val="subscript"/>
              </w:rPr>
              <w:t>1</w:t>
            </w:r>
          </w:p>
        </w:tc>
        <w:tc>
          <w:tcPr>
            <w:tcW w:w="4400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测量重复性所引入的标准不确定度</w:t>
            </w:r>
          </w:p>
        </w:tc>
        <w:tc>
          <w:tcPr>
            <w:tcW w:w="187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0.0</w:t>
            </w:r>
            <w:r>
              <w:rPr>
                <w:rFonts w:hint="eastAsia"/>
                <w:kern w:val="0"/>
                <w:sz w:val="24"/>
              </w:rPr>
              <w:t>3</w:t>
            </w:r>
            <w:r>
              <w:rPr>
                <w:kern w:val="0"/>
                <w:sz w:val="24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6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标准不确定度</w:t>
            </w:r>
            <w:r>
              <w:rPr>
                <w:color w:val="000000"/>
                <w:sz w:val="24"/>
              </w:rPr>
              <w:t>u</w:t>
            </w:r>
            <w:r>
              <w:rPr>
                <w:color w:val="000000"/>
                <w:sz w:val="24"/>
                <w:vertAlign w:val="subscript"/>
              </w:rPr>
              <w:t>2</w:t>
            </w:r>
          </w:p>
        </w:tc>
        <w:tc>
          <w:tcPr>
            <w:tcW w:w="4400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测量设备引入的不确定度</w:t>
            </w:r>
          </w:p>
        </w:tc>
        <w:tc>
          <w:tcPr>
            <w:tcW w:w="187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0.0</w:t>
            </w:r>
            <w:r>
              <w:rPr>
                <w:rFonts w:hint="eastAsia"/>
                <w:kern w:val="0"/>
                <w:sz w:val="24"/>
              </w:rPr>
              <w:t>2</w:t>
            </w:r>
            <w:r>
              <w:rPr>
                <w:kern w:val="0"/>
                <w:sz w:val="24"/>
              </w:rPr>
              <w:t>MPa</w:t>
            </w:r>
          </w:p>
        </w:tc>
      </w:tr>
    </w:tbl>
    <w:p>
      <w:pPr>
        <w:spacing w:line="360" w:lineRule="auto"/>
        <w:rPr>
          <w:sz w:val="24"/>
        </w:rPr>
      </w:pPr>
      <w:r>
        <w:rPr>
          <w:sz w:val="24"/>
        </w:rPr>
        <w:t>4.2合成标准不确定度的计算</w:t>
      </w:r>
    </w:p>
    <w:p>
      <w:pPr>
        <w:widowControl/>
        <w:adjustRightInd w:val="0"/>
        <w:spacing w:line="360" w:lineRule="auto"/>
        <w:ind w:firstLine="849" w:firstLineChars="354"/>
        <w:rPr>
          <w:sz w:val="24"/>
        </w:rPr>
      </w:pPr>
      <w:r>
        <w:rPr>
          <w:position w:val="-12"/>
          <w:sz w:val="24"/>
          <w:vertAlign w:val="subscript"/>
        </w:rPr>
        <w:object>
          <v:shape id="_x0000_i1032" o:spt="75" type="#_x0000_t75" style="height:22pt;width:225.5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KSEE3" ShapeID="_x0000_i1032" DrawAspect="Content" ObjectID="_1468075732" r:id="rId18">
            <o:LockedField>false</o:LockedField>
          </o:OLEObject>
        </w:object>
      </w:r>
    </w:p>
    <w:p>
      <w:pPr>
        <w:spacing w:line="360" w:lineRule="auto"/>
        <w:rPr>
          <w:b/>
          <w:bCs/>
          <w:sz w:val="24"/>
        </w:rPr>
      </w:pPr>
      <w:r>
        <w:rPr>
          <w:b/>
          <w:bCs/>
          <w:sz w:val="24"/>
        </w:rPr>
        <w:t>5、扩展不确定度的计算</w:t>
      </w:r>
    </w:p>
    <w:p>
      <w:pPr>
        <w:spacing w:line="360" w:lineRule="auto"/>
        <w:ind w:left="360"/>
        <w:rPr>
          <w:sz w:val="24"/>
        </w:rPr>
      </w:pPr>
      <w:r>
        <w:rPr>
          <w:sz w:val="24"/>
        </w:rPr>
        <w:t>取</w:t>
      </w:r>
      <w:r>
        <w:rPr>
          <w:kern w:val="0"/>
          <w:sz w:val="24"/>
        </w:rPr>
        <w:t>包含因子</w:t>
      </w:r>
      <w:r>
        <w:rPr>
          <w:i/>
          <w:kern w:val="0"/>
          <w:sz w:val="24"/>
        </w:rPr>
        <w:t>k</w:t>
      </w:r>
      <w:r>
        <w:rPr>
          <w:i/>
          <w:iCs/>
          <w:kern w:val="0"/>
          <w:sz w:val="24"/>
        </w:rPr>
        <w:t xml:space="preserve"> </w:t>
      </w:r>
      <w:r>
        <w:rPr>
          <w:kern w:val="0"/>
          <w:sz w:val="24"/>
        </w:rPr>
        <w:t>= 2，</w:t>
      </w:r>
      <w:r>
        <w:rPr>
          <w:i/>
          <w:sz w:val="24"/>
        </w:rPr>
        <w:t xml:space="preserve"> </w:t>
      </w:r>
      <w:r>
        <w:rPr>
          <w:sz w:val="24"/>
        </w:rPr>
        <w:t>得</w:t>
      </w:r>
    </w:p>
    <w:p>
      <w:pPr>
        <w:widowControl/>
        <w:adjustRightInd w:val="0"/>
        <w:spacing w:line="360" w:lineRule="auto"/>
        <w:ind w:firstLine="960" w:firstLineChars="400"/>
        <w:rPr>
          <w:sz w:val="24"/>
        </w:rPr>
      </w:pPr>
      <w:r>
        <w:rPr>
          <w:i/>
          <w:sz w:val="24"/>
        </w:rPr>
        <w:t>U</w:t>
      </w:r>
      <w:r>
        <w:rPr>
          <w:sz w:val="24"/>
        </w:rPr>
        <w:t>=</w:t>
      </w:r>
      <w:r>
        <w:rPr>
          <w:i/>
          <w:sz w:val="24"/>
        </w:rPr>
        <w:t>k</w:t>
      </w:r>
      <w:r>
        <w:rPr>
          <w:sz w:val="24"/>
        </w:rPr>
        <w:t>·</w:t>
      </w:r>
      <w:r>
        <w:rPr>
          <w:i/>
          <w:sz w:val="24"/>
        </w:rPr>
        <w:t>u</w:t>
      </w:r>
      <w:r>
        <w:rPr>
          <w:i/>
          <w:sz w:val="24"/>
          <w:vertAlign w:val="subscript"/>
        </w:rPr>
        <w:t>c</w:t>
      </w:r>
      <w:r>
        <w:rPr>
          <w:sz w:val="24"/>
        </w:rPr>
        <w:t xml:space="preserve"> =2×0.</w:t>
      </w:r>
      <w:r>
        <w:rPr>
          <w:rFonts w:hint="eastAsia"/>
          <w:sz w:val="24"/>
        </w:rPr>
        <w:t>036</w:t>
      </w:r>
      <w:r>
        <w:rPr>
          <w:sz w:val="24"/>
        </w:rPr>
        <w:t xml:space="preserve"> =0.</w:t>
      </w:r>
      <w:r>
        <w:rPr>
          <w:rFonts w:hint="eastAsia"/>
          <w:sz w:val="24"/>
        </w:rPr>
        <w:t>072</w:t>
      </w:r>
      <w:r>
        <w:rPr>
          <w:sz w:val="24"/>
        </w:rPr>
        <w:t>MPa</w:t>
      </w:r>
    </w:p>
    <w:p>
      <w:pPr>
        <w:spacing w:line="360" w:lineRule="auto"/>
        <w:rPr>
          <w:sz w:val="24"/>
        </w:rPr>
      </w:pPr>
      <w:r>
        <w:rPr>
          <w:b/>
          <w:bCs/>
          <w:sz w:val="24"/>
        </w:rPr>
        <w:t xml:space="preserve">6、测量不确定度的报告与表示   </w:t>
      </w:r>
      <w:r>
        <w:rPr>
          <w:sz w:val="24"/>
        </w:rPr>
        <w:t xml:space="preserve">  </w:t>
      </w:r>
    </w:p>
    <w:p>
      <w:pPr>
        <w:widowControl/>
        <w:adjustRightInd w:val="0"/>
        <w:spacing w:line="360" w:lineRule="auto"/>
        <w:ind w:firstLine="480" w:firstLineChars="200"/>
        <w:rPr>
          <w:rFonts w:hint="default" w:eastAsia="宋体"/>
          <w:sz w:val="24"/>
          <w:lang w:val="en-US" w:eastAsia="zh-CN"/>
        </w:rPr>
      </w:pPr>
      <w:r>
        <w:rPr>
          <w:sz w:val="24"/>
        </w:rPr>
        <w:t xml:space="preserve">    </w:t>
      </w:r>
      <w:r>
        <w:rPr>
          <w:i/>
          <w:iCs/>
          <w:sz w:val="24"/>
        </w:rPr>
        <w:t>U</w:t>
      </w:r>
      <w:r>
        <w:rPr>
          <w:sz w:val="24"/>
        </w:rPr>
        <w:t>=0.</w:t>
      </w:r>
      <w:r>
        <w:rPr>
          <w:rFonts w:hint="eastAsia"/>
          <w:sz w:val="24"/>
        </w:rPr>
        <w:t>07</w:t>
      </w:r>
      <w:r>
        <w:rPr>
          <w:sz w:val="24"/>
        </w:rPr>
        <w:t xml:space="preserve">MPa </w:t>
      </w:r>
      <w:r>
        <w:rPr>
          <w:rFonts w:hint="eastAsia"/>
          <w:sz w:val="24"/>
        </w:rPr>
        <w:t>，</w:t>
      </w:r>
      <w:r>
        <w:rPr>
          <w:sz w:val="24"/>
        </w:rPr>
        <w:t xml:space="preserve"> </w:t>
      </w:r>
      <w:r>
        <w:rPr>
          <w:i/>
          <w:sz w:val="24"/>
        </w:rPr>
        <w:t>k</w:t>
      </w:r>
      <w:r>
        <w:rPr>
          <w:sz w:val="24"/>
        </w:rPr>
        <w:t>=2</w:t>
      </w:r>
      <w:r>
        <w:rPr>
          <w:rFonts w:hint="eastAsia"/>
          <w:sz w:val="24"/>
          <w:lang w:val="en-US" w:eastAsia="zh-CN"/>
        </w:rPr>
        <w:t xml:space="preserve">           评定人：    </w:t>
      </w:r>
      <w:r>
        <w:rPr>
          <w:rFonts w:hint="default" w:eastAsia="宋体"/>
          <w:sz w:val="24"/>
          <w:lang w:val="en-US" w:eastAsia="zh-CN"/>
        </w:rPr>
        <w:drawing>
          <wp:inline distT="0" distB="0" distL="114300" distR="114300">
            <wp:extent cx="1052830" cy="546100"/>
            <wp:effectExtent l="0" t="0" r="0" b="5080"/>
            <wp:docPr id="1" name="图片 1" descr="6d5ffcdbfeb71a3034b440b35fdd9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d5ffcdbfeb71a3034b440b35fdd955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05283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lang w:val="en-US" w:eastAsia="zh-CN"/>
        </w:rPr>
        <w:t xml:space="preserve">   </w:t>
      </w:r>
    </w:p>
    <w:p>
      <w:pPr>
        <w:widowControl/>
        <w:adjustRightInd w:val="0"/>
        <w:spacing w:line="360" w:lineRule="auto"/>
        <w:ind w:firstLine="482" w:firstLineChars="200"/>
        <w:rPr>
          <w:sz w:val="24"/>
        </w:rPr>
      </w:pPr>
      <w:r>
        <w:rPr>
          <w:b/>
          <w:bCs/>
          <w:sz w:val="24"/>
        </w:rPr>
        <w:t xml:space="preserve"> 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32B07E"/>
    <w:multiLevelType w:val="singleLevel"/>
    <w:tmpl w:val="9032B07E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ZjZGExZGEzM2I3NmQzYmU5Nzc3YTgwYjllMTVmOTUifQ=="/>
  </w:docVars>
  <w:rsids>
    <w:rsidRoot w:val="002674CB"/>
    <w:rsid w:val="00016E6D"/>
    <w:rsid w:val="0003227F"/>
    <w:rsid w:val="00056EA1"/>
    <w:rsid w:val="000A4AA5"/>
    <w:rsid w:val="000A6049"/>
    <w:rsid w:val="000A63D2"/>
    <w:rsid w:val="000F53AC"/>
    <w:rsid w:val="001011C2"/>
    <w:rsid w:val="0010623A"/>
    <w:rsid w:val="00122F68"/>
    <w:rsid w:val="0012715F"/>
    <w:rsid w:val="001A51CD"/>
    <w:rsid w:val="00201DB4"/>
    <w:rsid w:val="0020782B"/>
    <w:rsid w:val="002107AF"/>
    <w:rsid w:val="00224362"/>
    <w:rsid w:val="00247355"/>
    <w:rsid w:val="002674CB"/>
    <w:rsid w:val="00267892"/>
    <w:rsid w:val="002903BC"/>
    <w:rsid w:val="002A2992"/>
    <w:rsid w:val="00305008"/>
    <w:rsid w:val="00374941"/>
    <w:rsid w:val="003867FC"/>
    <w:rsid w:val="003A0CDC"/>
    <w:rsid w:val="003D2700"/>
    <w:rsid w:val="003D3F9B"/>
    <w:rsid w:val="003E7DB7"/>
    <w:rsid w:val="003F1FBF"/>
    <w:rsid w:val="00457A38"/>
    <w:rsid w:val="00474314"/>
    <w:rsid w:val="00485659"/>
    <w:rsid w:val="004F72D6"/>
    <w:rsid w:val="0051393E"/>
    <w:rsid w:val="00536037"/>
    <w:rsid w:val="005B1001"/>
    <w:rsid w:val="005B31F7"/>
    <w:rsid w:val="005D6B5E"/>
    <w:rsid w:val="005F29E5"/>
    <w:rsid w:val="00635031"/>
    <w:rsid w:val="00666500"/>
    <w:rsid w:val="006C42A7"/>
    <w:rsid w:val="007431A9"/>
    <w:rsid w:val="007A4563"/>
    <w:rsid w:val="007B5237"/>
    <w:rsid w:val="007E6AF4"/>
    <w:rsid w:val="007E6D4D"/>
    <w:rsid w:val="00853C4D"/>
    <w:rsid w:val="00864046"/>
    <w:rsid w:val="00890D70"/>
    <w:rsid w:val="00892990"/>
    <w:rsid w:val="00895F34"/>
    <w:rsid w:val="008D08BF"/>
    <w:rsid w:val="00905CBF"/>
    <w:rsid w:val="00913C62"/>
    <w:rsid w:val="00917AB6"/>
    <w:rsid w:val="00927048"/>
    <w:rsid w:val="00931C27"/>
    <w:rsid w:val="00945422"/>
    <w:rsid w:val="0096432D"/>
    <w:rsid w:val="009646DF"/>
    <w:rsid w:val="009663CA"/>
    <w:rsid w:val="00977C49"/>
    <w:rsid w:val="00982870"/>
    <w:rsid w:val="00996BFC"/>
    <w:rsid w:val="009A08D6"/>
    <w:rsid w:val="009C212D"/>
    <w:rsid w:val="009C3F03"/>
    <w:rsid w:val="00A10C98"/>
    <w:rsid w:val="00A4183F"/>
    <w:rsid w:val="00A606E4"/>
    <w:rsid w:val="00A92912"/>
    <w:rsid w:val="00A9589B"/>
    <w:rsid w:val="00A97DF1"/>
    <w:rsid w:val="00AB6CFC"/>
    <w:rsid w:val="00AC0468"/>
    <w:rsid w:val="00AC232C"/>
    <w:rsid w:val="00AE3E03"/>
    <w:rsid w:val="00AE52B0"/>
    <w:rsid w:val="00AE6A78"/>
    <w:rsid w:val="00B10034"/>
    <w:rsid w:val="00B30F82"/>
    <w:rsid w:val="00B3623F"/>
    <w:rsid w:val="00B539D0"/>
    <w:rsid w:val="00B73F07"/>
    <w:rsid w:val="00BB4A6D"/>
    <w:rsid w:val="00BB4E03"/>
    <w:rsid w:val="00BE50EA"/>
    <w:rsid w:val="00C27B1B"/>
    <w:rsid w:val="00C6586D"/>
    <w:rsid w:val="00C73C6A"/>
    <w:rsid w:val="00CA154F"/>
    <w:rsid w:val="00CB02A2"/>
    <w:rsid w:val="00CE13FD"/>
    <w:rsid w:val="00D264C4"/>
    <w:rsid w:val="00D31301"/>
    <w:rsid w:val="00D428D6"/>
    <w:rsid w:val="00E40954"/>
    <w:rsid w:val="00E527D8"/>
    <w:rsid w:val="00EA1332"/>
    <w:rsid w:val="00EA5452"/>
    <w:rsid w:val="00EA70DA"/>
    <w:rsid w:val="00EB3EBC"/>
    <w:rsid w:val="00F015B8"/>
    <w:rsid w:val="00F645B9"/>
    <w:rsid w:val="00F95B2B"/>
    <w:rsid w:val="00FC5633"/>
    <w:rsid w:val="01030AE2"/>
    <w:rsid w:val="044770B2"/>
    <w:rsid w:val="05042B49"/>
    <w:rsid w:val="05304523"/>
    <w:rsid w:val="053447EE"/>
    <w:rsid w:val="05820BB2"/>
    <w:rsid w:val="05C570E8"/>
    <w:rsid w:val="067D47F0"/>
    <w:rsid w:val="07F3591A"/>
    <w:rsid w:val="084E4ADD"/>
    <w:rsid w:val="08B33882"/>
    <w:rsid w:val="0A7B5858"/>
    <w:rsid w:val="0CAF6225"/>
    <w:rsid w:val="0CC633F0"/>
    <w:rsid w:val="0CDC1E1E"/>
    <w:rsid w:val="0D143E07"/>
    <w:rsid w:val="0D3120CE"/>
    <w:rsid w:val="103546B6"/>
    <w:rsid w:val="106F3DD8"/>
    <w:rsid w:val="11AC5E46"/>
    <w:rsid w:val="12AD7BDB"/>
    <w:rsid w:val="13892171"/>
    <w:rsid w:val="15411FC1"/>
    <w:rsid w:val="158C5419"/>
    <w:rsid w:val="17111B0C"/>
    <w:rsid w:val="17AB0FB9"/>
    <w:rsid w:val="18314EA2"/>
    <w:rsid w:val="18791403"/>
    <w:rsid w:val="18E46A61"/>
    <w:rsid w:val="1A4B39BB"/>
    <w:rsid w:val="1A653E1C"/>
    <w:rsid w:val="1B305B37"/>
    <w:rsid w:val="1B9D388C"/>
    <w:rsid w:val="1CD47AA8"/>
    <w:rsid w:val="1CE90F86"/>
    <w:rsid w:val="1D50069B"/>
    <w:rsid w:val="1D542133"/>
    <w:rsid w:val="1DD30F8F"/>
    <w:rsid w:val="1ECB3F4B"/>
    <w:rsid w:val="1F4C4200"/>
    <w:rsid w:val="20060080"/>
    <w:rsid w:val="200E7B6C"/>
    <w:rsid w:val="204B5DC3"/>
    <w:rsid w:val="20D55196"/>
    <w:rsid w:val="20E14ED0"/>
    <w:rsid w:val="21EF0DC2"/>
    <w:rsid w:val="21F236F3"/>
    <w:rsid w:val="234F4DEF"/>
    <w:rsid w:val="243056A1"/>
    <w:rsid w:val="24D25743"/>
    <w:rsid w:val="25312398"/>
    <w:rsid w:val="25650389"/>
    <w:rsid w:val="25BD5B23"/>
    <w:rsid w:val="27BE054C"/>
    <w:rsid w:val="293A41F3"/>
    <w:rsid w:val="29F21D26"/>
    <w:rsid w:val="2A525CA9"/>
    <w:rsid w:val="2A885368"/>
    <w:rsid w:val="2AB31CD3"/>
    <w:rsid w:val="2AB8578C"/>
    <w:rsid w:val="2B045FEE"/>
    <w:rsid w:val="2B4B4BD4"/>
    <w:rsid w:val="2C28712E"/>
    <w:rsid w:val="2C620D55"/>
    <w:rsid w:val="2E304A36"/>
    <w:rsid w:val="2E736B0E"/>
    <w:rsid w:val="2ECF1DA3"/>
    <w:rsid w:val="2F160B64"/>
    <w:rsid w:val="2F4449F8"/>
    <w:rsid w:val="2F584477"/>
    <w:rsid w:val="2FE72CCC"/>
    <w:rsid w:val="30461732"/>
    <w:rsid w:val="30C42F61"/>
    <w:rsid w:val="33010797"/>
    <w:rsid w:val="343B7C73"/>
    <w:rsid w:val="35193C19"/>
    <w:rsid w:val="351957ED"/>
    <w:rsid w:val="35AE7103"/>
    <w:rsid w:val="360719D2"/>
    <w:rsid w:val="360F49D2"/>
    <w:rsid w:val="362525CF"/>
    <w:rsid w:val="369C7F69"/>
    <w:rsid w:val="36CA27CF"/>
    <w:rsid w:val="373A5911"/>
    <w:rsid w:val="38B22018"/>
    <w:rsid w:val="38B31447"/>
    <w:rsid w:val="38B72B67"/>
    <w:rsid w:val="39A35F89"/>
    <w:rsid w:val="3A5F7CB0"/>
    <w:rsid w:val="3AC43AD0"/>
    <w:rsid w:val="3B3B6DF8"/>
    <w:rsid w:val="3CE81254"/>
    <w:rsid w:val="3CF30480"/>
    <w:rsid w:val="3D562D95"/>
    <w:rsid w:val="408F2819"/>
    <w:rsid w:val="41805F70"/>
    <w:rsid w:val="41EB24EA"/>
    <w:rsid w:val="42094463"/>
    <w:rsid w:val="422904BD"/>
    <w:rsid w:val="42732272"/>
    <w:rsid w:val="43D85F10"/>
    <w:rsid w:val="442A3D69"/>
    <w:rsid w:val="454C4A39"/>
    <w:rsid w:val="45B914EF"/>
    <w:rsid w:val="463069A0"/>
    <w:rsid w:val="475164DA"/>
    <w:rsid w:val="47562704"/>
    <w:rsid w:val="47A42EAC"/>
    <w:rsid w:val="47AC5657"/>
    <w:rsid w:val="47E65026"/>
    <w:rsid w:val="490E5D78"/>
    <w:rsid w:val="4A02072C"/>
    <w:rsid w:val="4A546E21"/>
    <w:rsid w:val="4C4256B0"/>
    <w:rsid w:val="4CCB7763"/>
    <w:rsid w:val="4D5542B6"/>
    <w:rsid w:val="4D63663A"/>
    <w:rsid w:val="4E19754E"/>
    <w:rsid w:val="4F745F83"/>
    <w:rsid w:val="515D607F"/>
    <w:rsid w:val="517D5F39"/>
    <w:rsid w:val="520E18AC"/>
    <w:rsid w:val="52181816"/>
    <w:rsid w:val="538066BD"/>
    <w:rsid w:val="54A57465"/>
    <w:rsid w:val="54CE5D06"/>
    <w:rsid w:val="55300465"/>
    <w:rsid w:val="55A64E1F"/>
    <w:rsid w:val="55B96904"/>
    <w:rsid w:val="55FD1495"/>
    <w:rsid w:val="56AD424A"/>
    <w:rsid w:val="56E83C11"/>
    <w:rsid w:val="57A37DA9"/>
    <w:rsid w:val="58211A46"/>
    <w:rsid w:val="587D25F1"/>
    <w:rsid w:val="58D11376"/>
    <w:rsid w:val="594C53C0"/>
    <w:rsid w:val="59F10F93"/>
    <w:rsid w:val="5A4763F3"/>
    <w:rsid w:val="5A5A1D05"/>
    <w:rsid w:val="5A873B4A"/>
    <w:rsid w:val="5B061C74"/>
    <w:rsid w:val="5B9642B7"/>
    <w:rsid w:val="5D873B9A"/>
    <w:rsid w:val="5DD75F7C"/>
    <w:rsid w:val="607523C1"/>
    <w:rsid w:val="609F7046"/>
    <w:rsid w:val="613910C3"/>
    <w:rsid w:val="627D3DDC"/>
    <w:rsid w:val="62D26564"/>
    <w:rsid w:val="640E0FC4"/>
    <w:rsid w:val="656D0DF7"/>
    <w:rsid w:val="65833FB4"/>
    <w:rsid w:val="65F63FF7"/>
    <w:rsid w:val="671C48E0"/>
    <w:rsid w:val="67921160"/>
    <w:rsid w:val="679A2D2E"/>
    <w:rsid w:val="67E72F19"/>
    <w:rsid w:val="68EE565B"/>
    <w:rsid w:val="695828FB"/>
    <w:rsid w:val="6A53373D"/>
    <w:rsid w:val="6B4C2E34"/>
    <w:rsid w:val="6BD477EC"/>
    <w:rsid w:val="6BFD7692"/>
    <w:rsid w:val="6C251012"/>
    <w:rsid w:val="6CEF600F"/>
    <w:rsid w:val="6DB66F29"/>
    <w:rsid w:val="6DE35DBB"/>
    <w:rsid w:val="6E114D5C"/>
    <w:rsid w:val="6E827F52"/>
    <w:rsid w:val="6F651BCF"/>
    <w:rsid w:val="6FB613F0"/>
    <w:rsid w:val="6FCE3C4B"/>
    <w:rsid w:val="72484DC4"/>
    <w:rsid w:val="72D85456"/>
    <w:rsid w:val="73950332"/>
    <w:rsid w:val="739A109D"/>
    <w:rsid w:val="7415715D"/>
    <w:rsid w:val="744F372E"/>
    <w:rsid w:val="74683550"/>
    <w:rsid w:val="751E4BE0"/>
    <w:rsid w:val="75915A0E"/>
    <w:rsid w:val="75D43E41"/>
    <w:rsid w:val="76782D4F"/>
    <w:rsid w:val="772F7EBB"/>
    <w:rsid w:val="7869696E"/>
    <w:rsid w:val="78E1576B"/>
    <w:rsid w:val="7AB02F7C"/>
    <w:rsid w:val="7ABC47A1"/>
    <w:rsid w:val="7B835F53"/>
    <w:rsid w:val="7D2B6D03"/>
    <w:rsid w:val="7DC32556"/>
    <w:rsid w:val="7E5C07A9"/>
    <w:rsid w:val="7E65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4"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qFormat/>
    <w:uiPriority w:val="0"/>
    <w:pPr>
      <w:spacing w:line="240" w:lineRule="exact"/>
    </w:pPr>
    <w:rPr>
      <w:sz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脚 字符"/>
    <w:link w:val="4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0">
    <w:name w:val="页眉 字符"/>
    <w:link w:val="5"/>
    <w:qFormat/>
    <w:uiPriority w:val="0"/>
    <w:rPr>
      <w:kern w:val="2"/>
      <w:sz w:val="18"/>
      <w:szCs w:val="18"/>
    </w:rPr>
  </w:style>
  <w:style w:type="paragraph" w:customStyle="1" w:styleId="11">
    <w:name w:val="MTDisplayEquation"/>
    <w:basedOn w:val="1"/>
    <w:next w:val="1"/>
    <w:qFormat/>
    <w:uiPriority w:val="0"/>
    <w:pPr>
      <w:widowControl/>
      <w:tabs>
        <w:tab w:val="center" w:pos="4360"/>
        <w:tab w:val="right" w:pos="8300"/>
      </w:tabs>
      <w:ind w:left="420"/>
    </w:pPr>
    <w:rPr>
      <w:kern w:val="0"/>
      <w:sz w:val="24"/>
    </w:rPr>
  </w:style>
  <w:style w:type="character" w:customStyle="1" w:styleId="12">
    <w:name w:val="正文文本 字符"/>
    <w:link w:val="3"/>
    <w:qFormat/>
    <w:uiPriority w:val="0"/>
    <w:rPr>
      <w:kern w:val="2"/>
      <w:sz w:val="18"/>
      <w:szCs w:val="24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标题 3 字符"/>
    <w:link w:val="2"/>
    <w:qFormat/>
    <w:uiPriority w:val="9"/>
    <w:rPr>
      <w:rFonts w:ascii="宋体" w:hAnsi="宋体"/>
      <w:b/>
      <w:sz w:val="27"/>
      <w:szCs w:val="27"/>
    </w:rPr>
  </w:style>
  <w:style w:type="character" w:styleId="15">
    <w:name w:val="Placeholder Text"/>
    <w:basedOn w:val="8"/>
    <w:unhideWhenUsed/>
    <w:qFormat/>
    <w:uiPriority w:val="99"/>
    <w:rPr>
      <w:color w:val="808080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image" Target="media/image8.png"/><Relationship Id="rId2" Type="http://schemas.openxmlformats.org/officeDocument/2006/relationships/settings" Target="settings.xml"/><Relationship Id="rId19" Type="http://schemas.openxmlformats.org/officeDocument/2006/relationships/image" Target="media/image7.wmf"/><Relationship Id="rId18" Type="http://schemas.openxmlformats.org/officeDocument/2006/relationships/oleObject" Target="embeddings/oleObject8.bin"/><Relationship Id="rId17" Type="http://schemas.openxmlformats.org/officeDocument/2006/relationships/image" Target="media/image6.wmf"/><Relationship Id="rId16" Type="http://schemas.openxmlformats.org/officeDocument/2006/relationships/oleObject" Target="embeddings/oleObject7.bin"/><Relationship Id="rId15" Type="http://schemas.openxmlformats.org/officeDocument/2006/relationships/image" Target="media/image5.wmf"/><Relationship Id="rId14" Type="http://schemas.openxmlformats.org/officeDocument/2006/relationships/oleObject" Target="embeddings/oleObject6.bin"/><Relationship Id="rId13" Type="http://schemas.openxmlformats.org/officeDocument/2006/relationships/image" Target="media/image4.wmf"/><Relationship Id="rId12" Type="http://schemas.openxmlformats.org/officeDocument/2006/relationships/oleObject" Target="embeddings/oleObject5.bin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2</Pages>
  <Words>717</Words>
  <Characters>901</Characters>
  <Lines>9</Lines>
  <Paragraphs>2</Paragraphs>
  <TotalTime>2</TotalTime>
  <ScaleCrop>false</ScaleCrop>
  <LinksUpToDate>false</LinksUpToDate>
  <CharactersWithSpaces>1049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2020-05-05T03:15:00Z</dcterms:created>
  <dc:creator>MC SYSTEM</dc:creator>
  <cp:lastModifiedBy>hp</cp:lastModifiedBy>
  <cp:lastPrinted>2019-11-25T08:04:00Z</cp:lastPrinted>
  <dcterms:modified xsi:type="dcterms:W3CDTF">2022-11-15T01:40:08Z</dcterms:modified>
  <dc:title>直读光谱仪测量中低合金钢中锰含量的测量不确定度评定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0CC7F57CA5A84BABA1F570852AB99968</vt:lpwstr>
  </property>
</Properties>
</file>