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6"/>
        <w:tblW w:w="106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2" w:name="组织名称"/>
            <w:r>
              <w:rPr>
                <w:sz w:val="21"/>
                <w:szCs w:val="21"/>
              </w:rPr>
              <w:t>河北七宇电力工程有限公司</w:t>
            </w:r>
            <w:bookmarkEnd w:id="2"/>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sz w:val="20"/>
              </w:rPr>
              <w:t>Q14.02.01;17.11.03;17.12.05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周文廷</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0"/>
              </w:rPr>
              <w:t>Q17.11.03;17.12.05</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sz w:val="20"/>
                <w:lang w:val="de-DE"/>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jc w:val="both"/>
              <w:rPr>
                <w:rFonts w:hint="eastAsia" w:ascii="Times New Roman" w:hAnsi="Times New Roman" w:cs="Times New Roman"/>
                <w:b/>
                <w:sz w:val="20"/>
                <w:lang w:eastAsia="zh-CN"/>
              </w:rPr>
            </w:pPr>
            <w:r>
              <w:rPr>
                <w:rFonts w:hint="eastAsia" w:cs="Times New Roman"/>
                <w:b/>
                <w:sz w:val="20"/>
                <w:lang w:val="en-US" w:eastAsia="zh-CN"/>
              </w:rPr>
              <w:t>电力金具、铁附件</w:t>
            </w:r>
            <w:r>
              <w:rPr>
                <w:rFonts w:hint="eastAsia" w:ascii="Times New Roman" w:hAnsi="Times New Roman" w:cs="Times New Roman"/>
                <w:b/>
                <w:sz w:val="20"/>
                <w:lang w:eastAsia="zh-CN"/>
              </w:rPr>
              <w:t>生产工艺流程：</w:t>
            </w:r>
          </w:p>
          <w:p>
            <w:pPr>
              <w:snapToGrid w:val="0"/>
              <w:spacing w:line="280" w:lineRule="exact"/>
              <w:rPr>
                <w:b/>
                <w:sz w:val="20"/>
              </w:rPr>
            </w:pPr>
            <w:r>
              <w:rPr>
                <w:rFonts w:hint="eastAsia" w:ascii="楷体" w:hAnsi="楷体" w:eastAsia="楷体"/>
                <w:szCs w:val="21"/>
              </w:rPr>
              <w:t>下料—机加工—镀锌（外包）—焊接（必要时）—装配—成品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eastAsia="zh-CN"/>
              </w:rPr>
              <w:t>机加工、过程检验</w:t>
            </w:r>
            <w:r>
              <w:rPr>
                <w:rFonts w:hint="eastAsia"/>
                <w:b/>
                <w:sz w:val="20"/>
                <w:lang w:val="en-US" w:eastAsia="zh-CN"/>
              </w:rPr>
              <w:t xml:space="preserve">  </w:t>
            </w:r>
          </w:p>
          <w:p>
            <w:pPr>
              <w:snapToGrid w:val="0"/>
              <w:spacing w:line="280" w:lineRule="exact"/>
              <w:jc w:val="both"/>
              <w:rPr>
                <w:rFonts w:hint="default" w:eastAsia="宋体"/>
                <w:b/>
                <w:sz w:val="20"/>
                <w:lang w:val="en-US" w:eastAsia="zh-CN"/>
              </w:rPr>
            </w:pPr>
            <w:r>
              <w:rPr>
                <w:rFonts w:hint="eastAsia"/>
                <w:b/>
                <w:sz w:val="20"/>
                <w:lang w:val="en-US" w:eastAsia="zh-CN"/>
              </w:rPr>
              <w:t>控制参数 外观、尺寸、性能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both"/>
              <w:rPr>
                <w:b/>
                <w:sz w:val="20"/>
              </w:rPr>
            </w:pPr>
            <w:r>
              <w:rPr>
                <w:rFonts w:hint="eastAsia" w:ascii="楷体" w:hAnsi="楷体" w:eastAsia="楷体" w:cs="楷体"/>
                <w:szCs w:val="21"/>
              </w:rPr>
              <w:t>GB/T 2</w:t>
            </w:r>
            <w:r>
              <w:rPr>
                <w:rFonts w:ascii="楷体" w:hAnsi="楷体" w:eastAsia="楷体" w:cs="楷体"/>
                <w:szCs w:val="21"/>
              </w:rPr>
              <w:t>694</w:t>
            </w:r>
            <w:r>
              <w:rPr>
                <w:rFonts w:hint="eastAsia" w:ascii="楷体" w:hAnsi="楷体" w:eastAsia="楷体" w:cs="楷体"/>
                <w:szCs w:val="21"/>
              </w:rPr>
              <w:t>-20</w:t>
            </w:r>
            <w:r>
              <w:rPr>
                <w:rFonts w:ascii="楷体" w:hAnsi="楷体" w:eastAsia="楷体" w:cs="楷体"/>
                <w:szCs w:val="21"/>
              </w:rPr>
              <w:t>18</w:t>
            </w:r>
            <w:r>
              <w:rPr>
                <w:rFonts w:hint="eastAsia" w:ascii="楷体" w:hAnsi="楷体" w:eastAsia="楷体" w:cs="楷体"/>
                <w:szCs w:val="21"/>
              </w:rPr>
              <w:t>《输电线路铁塔制造技术条件》、</w:t>
            </w:r>
            <w:r>
              <w:rPr>
                <w:rFonts w:ascii="楷体" w:hAnsi="楷体" w:eastAsia="楷体" w:cs="楷体"/>
                <w:szCs w:val="21"/>
              </w:rPr>
              <w:t>GB/</w:t>
            </w:r>
            <w:r>
              <w:rPr>
                <w:rFonts w:hint="eastAsia" w:ascii="楷体" w:hAnsi="楷体" w:eastAsia="楷体" w:cs="楷体"/>
                <w:szCs w:val="21"/>
              </w:rPr>
              <w:t>T 7</w:t>
            </w:r>
            <w:r>
              <w:rPr>
                <w:rFonts w:ascii="楷体" w:hAnsi="楷体" w:eastAsia="楷体" w:cs="楷体"/>
                <w:szCs w:val="21"/>
              </w:rPr>
              <w:t>00-2006</w:t>
            </w:r>
            <w:r>
              <w:rPr>
                <w:rFonts w:hint="eastAsia" w:ascii="楷体" w:hAnsi="楷体" w:eastAsia="楷体" w:cs="楷体"/>
                <w:szCs w:val="21"/>
              </w:rPr>
              <w:t xml:space="preserve">《 碳素结构钢》、GB/T </w:t>
            </w:r>
            <w:r>
              <w:rPr>
                <w:rFonts w:ascii="楷体" w:hAnsi="楷体" w:eastAsia="楷体" w:cs="楷体"/>
                <w:szCs w:val="21"/>
              </w:rPr>
              <w:t>702</w:t>
            </w:r>
            <w:r>
              <w:rPr>
                <w:rFonts w:hint="eastAsia" w:ascii="楷体" w:hAnsi="楷体" w:eastAsia="楷体" w:cs="楷体"/>
                <w:szCs w:val="21"/>
              </w:rPr>
              <w:t>-20</w:t>
            </w:r>
            <w:r>
              <w:rPr>
                <w:rFonts w:ascii="楷体" w:hAnsi="楷体" w:eastAsia="楷体" w:cs="楷体"/>
                <w:szCs w:val="21"/>
              </w:rPr>
              <w:t>17</w:t>
            </w:r>
            <w:r>
              <w:rPr>
                <w:rFonts w:hint="eastAsia" w:ascii="楷体" w:hAnsi="楷体" w:eastAsia="楷体" w:cs="楷体"/>
                <w:szCs w:val="21"/>
              </w:rPr>
              <w:t>《 热轧钢棒尺寸、外形、重量及允许偏差》、</w:t>
            </w:r>
            <w:r>
              <w:rPr>
                <w:rFonts w:ascii="楷体" w:hAnsi="楷体" w:eastAsia="楷体" w:cs="楷体"/>
                <w:szCs w:val="21"/>
              </w:rPr>
              <w:t>GB/</w:t>
            </w:r>
            <w:r>
              <w:rPr>
                <w:rFonts w:hint="eastAsia" w:ascii="楷体" w:hAnsi="楷体" w:eastAsia="楷体" w:cs="楷体"/>
                <w:szCs w:val="21"/>
              </w:rPr>
              <w:t>T</w:t>
            </w:r>
            <w:r>
              <w:rPr>
                <w:rFonts w:ascii="楷体" w:hAnsi="楷体" w:eastAsia="楷体" w:cs="楷体"/>
                <w:szCs w:val="21"/>
              </w:rPr>
              <w:t>2317.1-2008</w:t>
            </w:r>
            <w:r>
              <w:rPr>
                <w:rFonts w:hint="eastAsia" w:ascii="楷体" w:hAnsi="楷体" w:eastAsia="楷体" w:cs="楷体"/>
                <w:szCs w:val="21"/>
              </w:rPr>
              <w:t xml:space="preserve">《 电力金具试验方法 </w:t>
            </w:r>
            <w:r>
              <w:rPr>
                <w:rFonts w:ascii="楷体" w:hAnsi="楷体" w:eastAsia="楷体" w:cs="楷体"/>
                <w:szCs w:val="21"/>
              </w:rPr>
              <w:t xml:space="preserve"> </w:t>
            </w:r>
            <w:r>
              <w:rPr>
                <w:rFonts w:hint="eastAsia" w:ascii="楷体" w:hAnsi="楷体" w:eastAsia="楷体" w:cs="楷体"/>
                <w:szCs w:val="21"/>
              </w:rPr>
              <w:t>第1部分：机械试验》、</w:t>
            </w:r>
            <w:r>
              <w:rPr>
                <w:rFonts w:ascii="楷体" w:hAnsi="楷体" w:eastAsia="楷体" w:cs="楷体"/>
                <w:szCs w:val="21"/>
              </w:rPr>
              <w:t>GB/</w:t>
            </w:r>
            <w:r>
              <w:rPr>
                <w:rFonts w:hint="eastAsia" w:ascii="楷体" w:hAnsi="楷体" w:eastAsia="楷体" w:cs="楷体"/>
                <w:szCs w:val="21"/>
              </w:rPr>
              <w:t>T</w:t>
            </w:r>
            <w:r>
              <w:rPr>
                <w:rFonts w:ascii="楷体" w:hAnsi="楷体" w:eastAsia="楷体" w:cs="楷体"/>
                <w:szCs w:val="21"/>
              </w:rPr>
              <w:t>2317.4-2008</w:t>
            </w:r>
            <w:r>
              <w:rPr>
                <w:rFonts w:hint="eastAsia" w:ascii="楷体" w:hAnsi="楷体" w:eastAsia="楷体" w:cs="楷体"/>
                <w:szCs w:val="21"/>
              </w:rPr>
              <w:t xml:space="preserve">《 电力金具试验方法 </w:t>
            </w:r>
            <w:r>
              <w:rPr>
                <w:rFonts w:ascii="楷体" w:hAnsi="楷体" w:eastAsia="楷体" w:cs="楷体"/>
                <w:szCs w:val="21"/>
              </w:rPr>
              <w:t xml:space="preserve"> </w:t>
            </w:r>
            <w:r>
              <w:rPr>
                <w:rFonts w:hint="eastAsia" w:ascii="楷体" w:hAnsi="楷体" w:eastAsia="楷体" w:cs="楷体"/>
                <w:szCs w:val="21"/>
              </w:rPr>
              <w:t>第4部分：验收规则》、D</w:t>
            </w:r>
            <w:r>
              <w:rPr>
                <w:rFonts w:ascii="楷体" w:hAnsi="楷体" w:eastAsia="楷体" w:cs="楷体"/>
                <w:szCs w:val="21"/>
              </w:rPr>
              <w:t>L/T759-2009</w:t>
            </w:r>
            <w:r>
              <w:rPr>
                <w:rFonts w:hint="eastAsia" w:ascii="楷体" w:hAnsi="楷体" w:eastAsia="楷体" w:cs="楷体"/>
                <w:szCs w:val="21"/>
              </w:rPr>
              <w:t>《 连接金具》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检验项目：外观、部件尺寸、</w:t>
            </w:r>
            <w:r>
              <w:rPr>
                <w:rFonts w:hint="eastAsia"/>
                <w:b/>
                <w:sz w:val="20"/>
                <w:lang w:val="en-US" w:eastAsia="zh-CN"/>
              </w:rPr>
              <w:t>力学性能、耐腐蚀性</w:t>
            </w:r>
            <w:r>
              <w:rPr>
                <w:rFonts w:hint="eastAsia"/>
                <w:b/>
                <w:sz w:val="20"/>
                <w:lang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val="en-US" w:eastAsia="zh-CN"/>
              </w:rPr>
            </w:pPr>
            <w:r>
              <w:rPr>
                <w:rFonts w:hint="eastAsia"/>
                <w:b/>
                <w:sz w:val="20"/>
                <w:lang w:val="en-US" w:eastAsia="zh-CN"/>
              </w:rPr>
              <w:t>周文廷</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2022.11.18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val="en-US" w:eastAsia="zh-CN"/>
              </w:rPr>
            </w:pPr>
            <w:r>
              <w:rPr>
                <w:rFonts w:hint="eastAsia"/>
                <w:b/>
                <w:sz w:val="20"/>
                <w:lang w:val="en-US" w:eastAsia="zh-CN"/>
              </w:rPr>
              <w:t>周文廷</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rFonts w:hint="default" w:eastAsia="宋体"/>
                <w:b/>
                <w:sz w:val="20"/>
                <w:lang w:val="en-US" w:eastAsia="zh-CN"/>
              </w:rPr>
            </w:pPr>
            <w:r>
              <w:rPr>
                <w:rFonts w:hint="eastAsia"/>
                <w:b/>
                <w:sz w:val="20"/>
                <w:lang w:val="en-US" w:eastAsia="zh-CN"/>
              </w:rPr>
              <w:t>2022.11.18</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hint="eastAsia" w:ascii="宋体" w:hAnsi="宋体"/>
          <w:b/>
          <w:sz w:val="30"/>
          <w:szCs w:val="30"/>
        </w:rPr>
      </w:pPr>
    </w:p>
    <w:p>
      <w:pPr>
        <w:snapToGrid w:val="0"/>
        <w:spacing w:before="120" w:beforeLines="50" w:line="360" w:lineRule="exact"/>
        <w:jc w:val="center"/>
        <w:rPr>
          <w:rFonts w:hint="eastAsia" w:ascii="宋体" w:hAnsi="宋体"/>
          <w:b/>
          <w:sz w:val="30"/>
          <w:szCs w:val="30"/>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6"/>
        <w:tblW w:w="106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sz w:val="21"/>
                <w:szCs w:val="21"/>
              </w:rPr>
              <w:t>河北七宇电力工程有限公司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rFonts w:hint="eastAsia"/>
                <w:sz w:val="20"/>
                <w:lang w:val="en-US" w:eastAsia="zh-CN"/>
              </w:rPr>
              <w:t>E</w:t>
            </w:r>
            <w:r>
              <w:rPr>
                <w:sz w:val="20"/>
              </w:rPr>
              <w:t>14.02.01;17.11.03;17.12.05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val="en-US" w:eastAsia="zh-CN"/>
              </w:rPr>
              <w:t>周文廷</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sz w:val="20"/>
                <w:lang w:val="en-US" w:eastAsia="zh-CN"/>
              </w:rPr>
              <w:t>E</w:t>
            </w:r>
            <w:r>
              <w:rPr>
                <w:sz w:val="20"/>
              </w:rPr>
              <w:t>17.11.03;17.12.05</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sz w:val="20"/>
                <w:lang w:val="de-DE"/>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both"/>
              <w:rPr>
                <w:b/>
                <w:sz w:val="20"/>
              </w:rPr>
            </w:pPr>
            <w:r>
              <w:rPr>
                <w:rFonts w:hint="eastAsia"/>
                <w:b/>
                <w:sz w:val="20"/>
              </w:rPr>
              <w:t>生产工艺</w:t>
            </w:r>
            <w:r>
              <w:rPr>
                <w:b/>
                <w:sz w:val="20"/>
              </w:rPr>
              <w:t>/</w:t>
            </w:r>
          </w:p>
          <w:p>
            <w:pPr>
              <w:snapToGrid w:val="0"/>
              <w:spacing w:line="280" w:lineRule="exact"/>
              <w:jc w:val="both"/>
              <w:rPr>
                <w:b/>
                <w:sz w:val="20"/>
              </w:rPr>
            </w:pPr>
            <w:r>
              <w:rPr>
                <w:rFonts w:hint="eastAsia"/>
                <w:b/>
                <w:sz w:val="20"/>
              </w:rPr>
              <w:t>服务过程</w:t>
            </w:r>
          </w:p>
        </w:tc>
        <w:tc>
          <w:tcPr>
            <w:tcW w:w="8424" w:type="dxa"/>
            <w:gridSpan w:val="7"/>
            <w:vAlign w:val="center"/>
          </w:tcPr>
          <w:p>
            <w:pPr>
              <w:snapToGrid w:val="0"/>
              <w:spacing w:line="280" w:lineRule="exact"/>
              <w:jc w:val="both"/>
              <w:rPr>
                <w:rFonts w:hint="eastAsia" w:ascii="Times New Roman" w:hAnsi="Times New Roman" w:cs="Times New Roman"/>
                <w:b/>
                <w:sz w:val="20"/>
                <w:lang w:eastAsia="zh-CN"/>
              </w:rPr>
            </w:pPr>
            <w:r>
              <w:rPr>
                <w:rFonts w:hint="eastAsia" w:cs="Times New Roman"/>
                <w:b/>
                <w:sz w:val="20"/>
                <w:lang w:val="en-US" w:eastAsia="zh-CN"/>
              </w:rPr>
              <w:t>电力金具、铁附件</w:t>
            </w:r>
            <w:r>
              <w:rPr>
                <w:rFonts w:hint="eastAsia" w:ascii="Times New Roman" w:hAnsi="Times New Roman" w:cs="Times New Roman"/>
                <w:b/>
                <w:sz w:val="20"/>
                <w:lang w:eastAsia="zh-CN"/>
              </w:rPr>
              <w:t>生产工艺流程：</w:t>
            </w:r>
          </w:p>
          <w:p>
            <w:pPr>
              <w:snapToGrid w:val="0"/>
              <w:spacing w:line="280" w:lineRule="exact"/>
              <w:jc w:val="both"/>
              <w:rPr>
                <w:b/>
                <w:sz w:val="20"/>
              </w:rPr>
            </w:pPr>
            <w:r>
              <w:rPr>
                <w:rFonts w:hint="eastAsia" w:ascii="楷体" w:hAnsi="楷体" w:eastAsia="楷体"/>
                <w:szCs w:val="21"/>
              </w:rPr>
              <w:t>下料—机加工—镀锌（外包）—焊接（必要时）—装配—成品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both"/>
              <w:rPr>
                <w:rFonts w:hint="eastAsia" w:ascii="Times New Roman" w:hAnsi="Times New Roman" w:cs="Times New Roman"/>
                <w:b/>
                <w:sz w:val="20"/>
                <w:lang w:eastAsia="zh-CN"/>
              </w:rPr>
            </w:pPr>
            <w:r>
              <w:rPr>
                <w:rFonts w:hint="eastAsia" w:ascii="Times New Roman" w:hAnsi="Times New Roman" w:cs="Times New Roman"/>
                <w:b/>
                <w:sz w:val="20"/>
                <w:lang w:eastAsia="zh-CN"/>
              </w:rPr>
              <w:t>重要环境</w:t>
            </w:r>
            <w:r>
              <w:rPr>
                <w:rFonts w:hint="eastAsia" w:ascii="Times New Roman" w:hAnsi="Times New Roman" w:cs="Times New Roman"/>
                <w:b/>
                <w:sz w:val="20"/>
                <w:lang w:val="en-US" w:eastAsia="zh-CN"/>
              </w:rPr>
              <w:t>因素</w:t>
            </w:r>
            <w:r>
              <w:rPr>
                <w:rFonts w:hint="eastAsia" w:ascii="Times New Roman" w:hAnsi="Times New Roman" w:cs="Times New Roman"/>
                <w:b/>
                <w:sz w:val="20"/>
                <w:lang w:eastAsia="zh-CN"/>
              </w:rPr>
              <w:t>及控制措施</w:t>
            </w:r>
          </w:p>
        </w:tc>
        <w:tc>
          <w:tcPr>
            <w:tcW w:w="8424" w:type="dxa"/>
            <w:gridSpan w:val="7"/>
            <w:vAlign w:val="center"/>
          </w:tcPr>
          <w:p>
            <w:pPr>
              <w:snapToGrid w:val="0"/>
              <w:spacing w:line="280" w:lineRule="exact"/>
              <w:jc w:val="both"/>
              <w:rPr>
                <w:rFonts w:hint="eastAsia" w:ascii="Times New Roman" w:hAnsi="Times New Roman" w:cs="Times New Roman"/>
                <w:b/>
                <w:sz w:val="20"/>
                <w:lang w:val="en-US" w:eastAsia="zh-CN"/>
              </w:rPr>
            </w:pPr>
            <w:r>
              <w:rPr>
                <w:rFonts w:hint="eastAsia" w:ascii="Times New Roman" w:hAnsi="Times New Roman" w:cs="Times New Roman"/>
                <w:b/>
                <w:sz w:val="20"/>
                <w:lang w:eastAsia="zh-CN"/>
              </w:rPr>
              <w:t>固废排放</w:t>
            </w:r>
            <w:r>
              <w:rPr>
                <w:rFonts w:hint="eastAsia" w:ascii="Times New Roman" w:hAnsi="Times New Roman" w:cs="Times New Roman"/>
                <w:b/>
                <w:sz w:val="20"/>
                <w:lang w:val="en-US" w:eastAsia="zh-CN"/>
              </w:rPr>
              <w:t xml:space="preserve">  控制措施：管理方案，运行控制，</w:t>
            </w:r>
          </w:p>
          <w:p>
            <w:pPr>
              <w:snapToGrid w:val="0"/>
              <w:spacing w:line="280" w:lineRule="exact"/>
              <w:jc w:val="both"/>
              <w:rPr>
                <w:rFonts w:hint="eastAsia" w:ascii="Times New Roman" w:hAnsi="Times New Roman" w:cs="Times New Roman"/>
                <w:b/>
                <w:sz w:val="20"/>
                <w:lang w:val="en-US" w:eastAsia="zh-CN"/>
              </w:rPr>
            </w:pPr>
            <w:r>
              <w:rPr>
                <w:rFonts w:hint="eastAsia" w:ascii="Times New Roman" w:hAnsi="Times New Roman" w:cs="Times New Roman"/>
                <w:b/>
                <w:sz w:val="20"/>
                <w:lang w:val="en-US" w:eastAsia="zh-CN"/>
              </w:rPr>
              <w:t>火灾      控制措施：管理方案，运行控制，应急预案，培训及演练</w:t>
            </w:r>
          </w:p>
          <w:p>
            <w:pPr>
              <w:snapToGrid w:val="0"/>
              <w:spacing w:line="280" w:lineRule="exact"/>
              <w:jc w:val="both"/>
              <w:rPr>
                <w:rFonts w:hint="default" w:ascii="Times New Roman" w:hAnsi="Times New Roman" w:cs="Times New Roman"/>
                <w:b/>
                <w:sz w:val="20"/>
                <w:lang w:val="en-US" w:eastAsia="zh-CN"/>
              </w:rPr>
            </w:pPr>
            <w:r>
              <w:rPr>
                <w:rFonts w:hint="eastAsia" w:ascii="Times New Roman" w:hAnsi="Times New Roman" w:cs="Times New Roman"/>
                <w:b/>
                <w:sz w:val="20"/>
                <w:lang w:val="en-US" w:eastAsia="zh-CN"/>
              </w:rPr>
              <w:t>噪声排放   控制措施：管理方案，运行控制，定期检测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rPr>
              <w:t>中华人民共和国环境保护法</w:t>
            </w:r>
            <w:r>
              <w:rPr>
                <w:rFonts w:hint="eastAsia"/>
                <w:b/>
                <w:sz w:val="20"/>
                <w:lang w:eastAsia="zh-CN"/>
              </w:rPr>
              <w:t>、</w:t>
            </w:r>
            <w:r>
              <w:rPr>
                <w:rFonts w:hint="eastAsia"/>
                <w:b/>
                <w:sz w:val="20"/>
              </w:rPr>
              <w:t>中华人民共和国固体废物污染环境防治法</w:t>
            </w:r>
            <w:r>
              <w:rPr>
                <w:rFonts w:hint="eastAsia"/>
                <w:b/>
                <w:sz w:val="20"/>
                <w:lang w:eastAsia="zh-CN"/>
              </w:rPr>
              <w:t>、</w:t>
            </w:r>
            <w:r>
              <w:rPr>
                <w:rFonts w:hint="eastAsia"/>
                <w:b/>
                <w:sz w:val="20"/>
              </w:rPr>
              <w:t>中华人民共和国大气污染防治法</w:t>
            </w:r>
            <w:r>
              <w:rPr>
                <w:rFonts w:hint="eastAsia"/>
                <w:b/>
                <w:sz w:val="20"/>
                <w:lang w:eastAsia="zh-CN"/>
              </w:rPr>
              <w:t>、</w:t>
            </w:r>
            <w:r>
              <w:rPr>
                <w:rFonts w:hint="eastAsia"/>
                <w:b/>
                <w:sz w:val="20"/>
              </w:rPr>
              <w:t>中华人民共和国水污染防治法</w:t>
            </w:r>
            <w:r>
              <w:rPr>
                <w:rFonts w:hint="eastAsia"/>
                <w:b/>
                <w:sz w:val="20"/>
                <w:lang w:eastAsia="zh-CN"/>
              </w:rPr>
              <w:t>、</w:t>
            </w:r>
            <w:r>
              <w:rPr>
                <w:rFonts w:hint="eastAsia"/>
                <w:b/>
                <w:sz w:val="20"/>
              </w:rPr>
              <w:t>中华人民共和国环境影响评价法</w:t>
            </w:r>
            <w:r>
              <w:rPr>
                <w:rFonts w:hint="eastAsia"/>
                <w:b/>
                <w:sz w:val="20"/>
                <w:lang w:eastAsia="zh-CN"/>
              </w:rPr>
              <w:t>、</w:t>
            </w:r>
            <w:r>
              <w:rPr>
                <w:rFonts w:hint="eastAsia"/>
                <w:b/>
                <w:sz w:val="20"/>
              </w:rPr>
              <w:t>中华人民共和国噪声污染防治法</w:t>
            </w:r>
            <w:r>
              <w:rPr>
                <w:rFonts w:hint="eastAsia"/>
                <w:b/>
                <w:sz w:val="20"/>
                <w:lang w:eastAsia="zh-CN"/>
              </w:rPr>
              <w:t>、</w:t>
            </w:r>
            <w:r>
              <w:rPr>
                <w:rFonts w:hint="eastAsia"/>
                <w:b/>
                <w:sz w:val="20"/>
              </w:rPr>
              <w:t>中华人民共和国清洁生产促进法</w:t>
            </w:r>
            <w:r>
              <w:rPr>
                <w:rFonts w:hint="eastAsia"/>
                <w:b/>
                <w:sz w:val="20"/>
                <w:lang w:eastAsia="zh-CN"/>
              </w:rPr>
              <w:t>、</w:t>
            </w:r>
            <w:r>
              <w:rPr>
                <w:rFonts w:hint="eastAsia"/>
                <w:b/>
                <w:sz w:val="20"/>
              </w:rPr>
              <w:t>中华人民共和国循环经济促进法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中华人民共和国</w:t>
            </w:r>
            <w:r>
              <w:rPr>
                <w:rFonts w:hint="eastAsia"/>
                <w:b/>
                <w:sz w:val="20"/>
                <w:lang w:eastAsia="zh-CN"/>
              </w:rPr>
              <w:t>噪声污染防治法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val="en-US" w:eastAsia="zh-CN"/>
              </w:rPr>
              <w:t>周文廷</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b/>
                <w:sz w:val="20"/>
                <w:lang w:val="en-US"/>
              </w:rPr>
            </w:pPr>
            <w:r>
              <w:rPr>
                <w:rFonts w:hint="eastAsia"/>
                <w:b/>
                <w:sz w:val="20"/>
                <w:lang w:val="en-US" w:eastAsia="zh-CN"/>
              </w:rPr>
              <w:t>2022.11.18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val="en-US" w:eastAsia="zh-CN"/>
              </w:rPr>
              <w:t>周文廷</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rFonts w:hint="default"/>
                <w:b/>
                <w:sz w:val="20"/>
                <w:lang w:val="en-US"/>
              </w:rPr>
            </w:pPr>
            <w:r>
              <w:rPr>
                <w:rFonts w:hint="eastAsia"/>
                <w:b/>
                <w:sz w:val="20"/>
                <w:lang w:val="en-US" w:eastAsia="zh-CN"/>
              </w:rPr>
              <w:t>2022.11.18</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hint="eastAsia" w:ascii="宋体" w:hAnsi="宋体"/>
          <w:b/>
          <w:sz w:val="30"/>
          <w:szCs w:val="30"/>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6"/>
        <w:tblW w:w="1067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sz w:val="21"/>
                <w:szCs w:val="21"/>
              </w:rPr>
              <w:t>河北七宇电力工程有限公司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rFonts w:hint="eastAsia"/>
                <w:sz w:val="20"/>
                <w:lang w:val="en-US" w:eastAsia="zh-CN"/>
              </w:rPr>
              <w:t>O</w:t>
            </w:r>
            <w:r>
              <w:rPr>
                <w:sz w:val="20"/>
              </w:rPr>
              <w:t>14.02.01;17.11.03;17.12.05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val="en-US" w:eastAsia="zh-CN"/>
              </w:rPr>
              <w:t>周文廷</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sz w:val="20"/>
                <w:lang w:val="en-US" w:eastAsia="zh-CN"/>
              </w:rPr>
              <w:t>O</w:t>
            </w:r>
            <w:bookmarkStart w:id="3" w:name="_GoBack"/>
            <w:bookmarkEnd w:id="3"/>
            <w:r>
              <w:rPr>
                <w:sz w:val="20"/>
              </w:rPr>
              <w:t>17.11.03;17.12.05</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eastAsia="宋体"/>
                <w:b/>
                <w:sz w:val="20"/>
                <w:lang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sz w:val="20"/>
                <w:lang w:val="de-DE"/>
              </w:rPr>
              <w:t>余家龙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both"/>
              <w:rPr>
                <w:b/>
                <w:sz w:val="20"/>
              </w:rPr>
            </w:pPr>
            <w:r>
              <w:rPr>
                <w:rFonts w:hint="eastAsia"/>
                <w:b/>
                <w:sz w:val="20"/>
              </w:rPr>
              <w:t>生产工艺</w:t>
            </w:r>
            <w:r>
              <w:rPr>
                <w:b/>
                <w:sz w:val="20"/>
              </w:rPr>
              <w:t>/</w:t>
            </w:r>
          </w:p>
          <w:p>
            <w:pPr>
              <w:snapToGrid w:val="0"/>
              <w:spacing w:line="280" w:lineRule="exact"/>
              <w:jc w:val="both"/>
              <w:rPr>
                <w:rFonts w:hint="eastAsia" w:ascii="Times New Roman" w:hAnsi="Times New Roman" w:cs="Times New Roman"/>
                <w:b/>
                <w:sz w:val="20"/>
                <w:lang w:eastAsia="zh-CN"/>
              </w:rPr>
            </w:pPr>
            <w:r>
              <w:rPr>
                <w:rFonts w:hint="eastAsia"/>
                <w:b/>
                <w:sz w:val="20"/>
              </w:rPr>
              <w:t>服务过程</w:t>
            </w:r>
          </w:p>
        </w:tc>
        <w:tc>
          <w:tcPr>
            <w:tcW w:w="8424" w:type="dxa"/>
            <w:gridSpan w:val="7"/>
            <w:vAlign w:val="center"/>
          </w:tcPr>
          <w:p>
            <w:pPr>
              <w:snapToGrid w:val="0"/>
              <w:spacing w:line="280" w:lineRule="exact"/>
              <w:jc w:val="both"/>
              <w:rPr>
                <w:rFonts w:hint="eastAsia" w:ascii="Times New Roman" w:hAnsi="Times New Roman" w:cs="Times New Roman"/>
                <w:b/>
                <w:sz w:val="20"/>
                <w:lang w:eastAsia="zh-CN"/>
              </w:rPr>
            </w:pPr>
            <w:r>
              <w:rPr>
                <w:rFonts w:hint="eastAsia" w:cs="Times New Roman"/>
                <w:b/>
                <w:sz w:val="20"/>
                <w:lang w:val="en-US" w:eastAsia="zh-CN"/>
              </w:rPr>
              <w:t>电力金具、铁附件</w:t>
            </w:r>
            <w:r>
              <w:rPr>
                <w:rFonts w:hint="eastAsia" w:ascii="Times New Roman" w:hAnsi="Times New Roman" w:cs="Times New Roman"/>
                <w:b/>
                <w:sz w:val="20"/>
                <w:lang w:eastAsia="zh-CN"/>
              </w:rPr>
              <w:t>生产工艺流程：</w:t>
            </w:r>
          </w:p>
          <w:p>
            <w:pPr>
              <w:snapToGrid w:val="0"/>
              <w:spacing w:line="280" w:lineRule="exact"/>
              <w:jc w:val="both"/>
              <w:rPr>
                <w:rFonts w:hint="eastAsia" w:ascii="Times New Roman" w:hAnsi="Times New Roman" w:cs="Times New Roman"/>
                <w:b/>
                <w:sz w:val="20"/>
                <w:lang w:eastAsia="zh-CN"/>
              </w:rPr>
            </w:pPr>
            <w:r>
              <w:rPr>
                <w:rFonts w:hint="eastAsia" w:ascii="楷体" w:hAnsi="楷体" w:eastAsia="楷体"/>
                <w:szCs w:val="21"/>
              </w:rPr>
              <w:t>下料—机加工—镀锌（外包）—焊接（必要时）—装配—成品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机械伤害、触电、火灾</w:t>
            </w:r>
          </w:p>
          <w:p>
            <w:pPr>
              <w:snapToGrid w:val="0"/>
              <w:spacing w:line="280" w:lineRule="exact"/>
              <w:jc w:val="both"/>
              <w:rPr>
                <w:rFonts w:hint="eastAsia"/>
                <w:b/>
                <w:sz w:val="20"/>
                <w:lang w:eastAsia="zh-CN"/>
              </w:rPr>
            </w:pPr>
            <w:r>
              <w:rPr>
                <w:rFonts w:hint="eastAsia"/>
                <w:b/>
                <w:sz w:val="20"/>
                <w:lang w:eastAsia="zh-CN"/>
              </w:rPr>
              <w:t>火灾；控制措施：管理方案、应急预案、培训及演练；运行控制</w:t>
            </w:r>
          </w:p>
          <w:p>
            <w:pPr>
              <w:snapToGrid w:val="0"/>
              <w:spacing w:line="280" w:lineRule="exact"/>
              <w:jc w:val="both"/>
              <w:rPr>
                <w:rFonts w:hint="eastAsia"/>
                <w:b/>
                <w:sz w:val="20"/>
                <w:lang w:eastAsia="zh-CN"/>
              </w:rPr>
            </w:pPr>
            <w:r>
              <w:rPr>
                <w:rFonts w:hint="eastAsia"/>
                <w:b/>
                <w:sz w:val="20"/>
                <w:lang w:eastAsia="zh-CN"/>
              </w:rPr>
              <w:t>触电；控制措施：管理方案、应急预案、培训及演练；运行控制</w:t>
            </w:r>
          </w:p>
          <w:p>
            <w:pPr>
              <w:pStyle w:val="11"/>
              <w:rPr>
                <w:rFonts w:hint="eastAsia"/>
                <w:lang w:eastAsia="zh-CN"/>
              </w:rPr>
            </w:pPr>
            <w:r>
              <w:rPr>
                <w:rFonts w:hint="eastAsia"/>
                <w:b/>
                <w:sz w:val="20"/>
                <w:lang w:eastAsia="zh-CN"/>
              </w:rPr>
              <w:t>机械</w:t>
            </w:r>
            <w:r>
              <w:rPr>
                <w:rFonts w:hint="eastAsia"/>
                <w:b/>
                <w:sz w:val="20"/>
                <w:lang w:val="en-US" w:eastAsia="zh-CN"/>
              </w:rPr>
              <w:t>伤害</w:t>
            </w:r>
            <w:r>
              <w:rPr>
                <w:rFonts w:hint="eastAsia"/>
                <w:b/>
                <w:sz w:val="20"/>
                <w:lang w:eastAsia="zh-CN"/>
              </w:rPr>
              <w:t>；控制措施：安全操作规程、培训、管理方案、应急预案、运行控制</w:t>
            </w:r>
          </w:p>
          <w:p>
            <w:pPr>
              <w:snapToGrid w:val="0"/>
              <w:spacing w:line="280" w:lineRule="exact"/>
              <w:jc w:val="both"/>
              <w:rPr>
                <w:rFonts w:hint="eastAsia" w:eastAsia="宋体"/>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left"/>
              <w:rPr>
                <w:rFonts w:hint="eastAsia"/>
                <w:b/>
                <w:sz w:val="20"/>
                <w:lang w:eastAsia="zh-CN"/>
              </w:rPr>
            </w:pPr>
            <w:r>
              <w:rPr>
                <w:rFonts w:hint="eastAsia"/>
                <w:b/>
                <w:sz w:val="20"/>
              </w:rPr>
              <w:t>中华人民共和国安全生产法</w:t>
            </w:r>
            <w:r>
              <w:rPr>
                <w:rFonts w:hint="eastAsia"/>
                <w:b/>
                <w:sz w:val="20"/>
                <w:lang w:eastAsia="zh-CN"/>
              </w:rPr>
              <w:t>、</w:t>
            </w:r>
            <w:r>
              <w:rPr>
                <w:rFonts w:hint="eastAsia"/>
                <w:b/>
                <w:sz w:val="20"/>
              </w:rPr>
              <w:t>劳动保障监察条例</w:t>
            </w:r>
            <w:r>
              <w:rPr>
                <w:rFonts w:hint="eastAsia"/>
                <w:b/>
                <w:sz w:val="20"/>
                <w:lang w:eastAsia="zh-CN"/>
              </w:rPr>
              <w:t>、</w:t>
            </w:r>
            <w:r>
              <w:rPr>
                <w:rFonts w:hint="eastAsia"/>
                <w:b/>
                <w:sz w:val="20"/>
              </w:rPr>
              <w:t>中华人民共和国传染病防治法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工作场所职业卫生监督管理规定</w:t>
            </w:r>
            <w:r>
              <w:rPr>
                <w:rFonts w:hint="eastAsia"/>
                <w:b/>
                <w:sz w:val="20"/>
                <w:lang w:eastAsia="zh-CN"/>
              </w:rPr>
              <w:t>、</w:t>
            </w:r>
            <w:r>
              <w:rPr>
                <w:rFonts w:hint="eastAsia"/>
                <w:b/>
                <w:sz w:val="20"/>
              </w:rPr>
              <w:t>企业职工伤亡事故调查分析规则</w:t>
            </w:r>
            <w:r>
              <w:rPr>
                <w:rFonts w:hint="eastAsia"/>
                <w:b/>
                <w:sz w:val="20"/>
                <w:lang w:eastAsia="zh-CN"/>
              </w:rPr>
              <w:t>、</w:t>
            </w:r>
            <w:r>
              <w:rPr>
                <w:rFonts w:hint="eastAsia"/>
                <w:b/>
                <w:sz w:val="20"/>
              </w:rPr>
              <w:t>突发公共卫生事件应急条例</w:t>
            </w:r>
            <w:r>
              <w:rPr>
                <w:rFonts w:hint="eastAsia"/>
                <w:b/>
                <w:sz w:val="20"/>
                <w:lang w:eastAsia="zh-CN"/>
              </w:rPr>
              <w:t>、</w:t>
            </w:r>
            <w:r>
              <w:rPr>
                <w:rFonts w:hint="eastAsia"/>
                <w:b/>
                <w:sz w:val="20"/>
              </w:rPr>
              <w:t>工作场所有害因素职业接触限值</w:t>
            </w:r>
            <w:r>
              <w:rPr>
                <w:rFonts w:hint="eastAsia"/>
                <w:b/>
                <w:sz w:val="20"/>
                <w:lang w:eastAsia="zh-CN"/>
              </w:rPr>
              <w:t>、河北省实施《工伤保险条例》若干规定</w:t>
            </w:r>
          </w:p>
          <w:p>
            <w:pPr>
              <w:snapToGrid w:val="0"/>
              <w:spacing w:line="280" w:lineRule="exact"/>
              <w:jc w:val="both"/>
              <w:rPr>
                <w:rFonts w:hint="eastAsia" w:eastAsia="宋体"/>
                <w:b/>
                <w:sz w:val="20"/>
                <w:lang w:eastAsia="zh-CN"/>
              </w:rPr>
            </w:pPr>
            <w:r>
              <w:rPr>
                <w:rFonts w:hint="eastAsia"/>
                <w:b/>
                <w:sz w:val="20"/>
                <w:lang w:eastAsia="zh-CN"/>
              </w:rPr>
              <w:t>河北省重大危险源监督管理办法、河北省人民政府关于印发落实生产经营单位安全生产主体责任暂行规定的通知等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val="en-US" w:eastAsia="zh-CN"/>
              </w:rPr>
              <w:t>周文廷</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2022.11.18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val="en-US" w:eastAsia="zh-CN"/>
              </w:rPr>
              <w:t>周文廷</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rFonts w:hint="default"/>
                <w:b/>
                <w:sz w:val="20"/>
                <w:lang w:val="en-US"/>
              </w:rPr>
            </w:pPr>
            <w:r>
              <w:rPr>
                <w:rFonts w:hint="eastAsia"/>
                <w:b/>
                <w:sz w:val="20"/>
                <w:lang w:val="en-US" w:eastAsia="zh-CN"/>
              </w:rPr>
              <w:t>2022.11.18</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8240;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000000"/>
    <w:rsid w:val="3BD12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Words>
  <Characters>275</Characters>
  <Lines>2</Lines>
  <Paragraphs>1</Paragraphs>
  <TotalTime>0</TotalTime>
  <ScaleCrop>false</ScaleCrop>
  <LinksUpToDate>false</LinksUpToDate>
  <CharactersWithSpaces>322</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zwt</cp:lastModifiedBy>
  <dcterms:modified xsi:type="dcterms:W3CDTF">2022-11-21T08:34:56Z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2052-10.1.0.6875</vt:lpwstr>
  </property>
</Properties>
</file>