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1150-2021-2022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327"/>
        <w:gridCol w:w="1230"/>
        <w:gridCol w:w="1237"/>
        <w:gridCol w:w="2027"/>
        <w:gridCol w:w="1111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维克托阀门集团有限公司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HL0111030206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MH320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12HLD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标准里氏硬度块U=5HLD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HC67521503667</w:t>
            </w:r>
          </w:p>
        </w:tc>
        <w:tc>
          <w:tcPr>
            <w:tcW w:w="1327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（0-1.6）MPa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1.6%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0.02级数字压力计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10127145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mm/0.02mm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卡尺量块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06808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0.005mm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千分尺量块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25021001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（0-60）MPa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1.6%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0.02级数字压力计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BFB-001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mm/0.01mm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≤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37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1011201210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mm/0.02mm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卡尺量块2级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2022.10.28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陕西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世通仪器检测服务有限公司负责溯源。公司测量设备除自检外全部委托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陕西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世通仪器检测服务有限公司检定/校准，校准/检定证书由品质部保存。根据抽查情况，该公司的校准情况符合溯源性要求，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4728210</wp:posOffset>
                  </wp:positionH>
                  <wp:positionV relativeFrom="paragraph">
                    <wp:posOffset>374015</wp:posOffset>
                  </wp:positionV>
                  <wp:extent cx="1016000" cy="445135"/>
                  <wp:effectExtent l="0" t="0" r="0" b="12065"/>
                  <wp:wrapNone/>
                  <wp:docPr id="2" name="图片 2" descr="90eb961bb19ca68e2c0b2c89d5c85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eb961bb19ca68e2c0b2c89d5c85a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12700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5181776"/>
    <w:rsid w:val="33FF143B"/>
    <w:rsid w:val="654B1E03"/>
    <w:rsid w:val="6A0215B1"/>
    <w:rsid w:val="7D7B4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519</Words>
  <Characters>764</Characters>
  <Lines>3</Lines>
  <Paragraphs>1</Paragraphs>
  <TotalTime>0</TotalTime>
  <ScaleCrop>false</ScaleCrop>
  <LinksUpToDate>false</LinksUpToDate>
  <CharactersWithSpaces>817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2022-11-19T16:49:25Z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F0EB65F88BEB487586AF3BADCB4DAC44</vt:lpwstr>
  </property>
</Properties>
</file>