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72225" cy="9461500"/>
            <wp:effectExtent l="0" t="0" r="13335" b="2540"/>
            <wp:docPr id="3" name="图片 3" descr="8a68d969fc7ee26761258c447580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68d969fc7ee26761258c4475806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45"/>
        <w:gridCol w:w="1619"/>
        <w:gridCol w:w="86"/>
        <w:gridCol w:w="855"/>
        <w:gridCol w:w="1083"/>
        <w:gridCol w:w="762"/>
        <w:gridCol w:w="94"/>
        <w:gridCol w:w="162"/>
        <w:gridCol w:w="203"/>
        <w:gridCol w:w="304"/>
        <w:gridCol w:w="53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上海云森莎农业科技有限公司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上海市崇明区建设镇浜西村152号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上海市崇明区建设镇浜西村152号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周森涟漪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18826987511</w:t>
            </w:r>
            <w:bookmarkEnd w:id="3"/>
          </w:p>
        </w:tc>
        <w:tc>
          <w:tcPr>
            <w:tcW w:w="5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170464338@qq.com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黄沙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01" w:type="dxa"/>
            <w:gridSpan w:val="4"/>
            <w:vAlign w:val="center"/>
          </w:tcPr>
          <w:p>
            <w:bookmarkStart w:id="6" w:name="管代电话"/>
            <w:bookmarkEnd w:id="6"/>
          </w:p>
        </w:tc>
        <w:tc>
          <w:tcPr>
            <w:tcW w:w="5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1177-2022-QEOFH</w:t>
            </w:r>
            <w:bookmarkEnd w:id="7"/>
          </w:p>
        </w:tc>
        <w:tc>
          <w:tcPr>
            <w:tcW w:w="9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24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9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Q：预包装食品销售(含冷藏冷冻食品销售)，农副产品(蔬菜、鲜肉、水产品)销售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E：预包装食品销售(含冷藏冷冻食品销售)，农副产品(蔬菜、鲜肉、水产品)销售所涉及场所的相关环境管理活动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O：预包装食品销售(含冷藏冷冻食品销售)，农副产品(蔬菜、鲜肉、水产品)销售所涉及场所的相关职业健康安全管理活动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F：位于上海市崇明区建设镇浜西村152号预包装食品销售(含冷藏冷冻食品销售)，农副产品(蔬菜、鲜肉、水产品)销售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H：位于上海市崇明区建设镇浜西村152号预包装食品销售(含冷藏冷冻食品销售)，农副产品(蔬菜、鲜肉、水产品)销售</w:t>
            </w:r>
            <w:bookmarkEnd w:id="23"/>
          </w:p>
        </w:tc>
        <w:tc>
          <w:tcPr>
            <w:tcW w:w="66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Q：29.07.01;29.07.02;29.07.03;29.07.08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E：29.07.01;29.07.02;29.07.03;29.07.08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O：29.07.01;29.07.02;29.07.03;29.07.08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F：FI-2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H：FI-2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远程审核于2022年11月24日 上午至2022年11月25日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Q:29.07.01,29.07.02,29.07.03,29.07.08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E:29.07.01,29.07.02,29.07.03,29.07.08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O:29.07.01,29.07.02,29.07.03,29.07.08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F:FI-2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H:FI-2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  <w:t>Q:晋级见证马焕秋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F:晋级见证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  <w:t>马焕秋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马焕秋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2022-N0QMS-1296764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2022-N0FSMS-1296764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Q:29.07.01,29.07.02,29.07.03,29.07.08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15966077050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  <w:t>Q:晋级被张静见证</w:t>
            </w:r>
          </w:p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F:晋级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  <w:t>被张静</w:t>
            </w:r>
            <w:r>
              <w:rPr>
                <w:rFonts w:hint="eastAsia"/>
                <w:sz w:val="20"/>
                <w:lang w:val="en-US" w:eastAsia="zh-CN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张丽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2022-N1QMS-7100863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2020-N1EMS-3100863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2021-N1OHSMS-2100863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13611003180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2020-N1QMS-1222839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F:FI-2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H:FI-2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4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84555" cy="426720"/>
                  <wp:effectExtent l="0" t="0" r="0" b="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122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2022-11-20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2022-11-20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2022-11-20</w:t>
            </w:r>
          </w:p>
        </w:tc>
      </w:tr>
    </w:tbl>
    <w:p>
      <w:pPr>
        <w:shd w:val="clear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（腾讯会议：374-493-956）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5C5FE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F5C5F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F5C5FE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销售部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及现场</w:t>
            </w:r>
          </w:p>
        </w:tc>
        <w:tc>
          <w:tcPr>
            <w:tcW w:w="3038" w:type="dxa"/>
            <w:shd w:val="clear" w:color="auto" w:fill="F5C5FE"/>
            <w:vAlign w:val="top"/>
          </w:tcPr>
          <w:p>
            <w:pPr>
              <w:spacing w:line="300" w:lineRule="exac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部门职责、目标管理、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前提方案/良好卫生规范现场情况、基础设施、工作环境、监视和测量资源、生产和服务策划和提供、产品和服务的要求、产品和服务的设计和开发、</w:t>
            </w:r>
            <w:r>
              <w:rPr>
                <w:rFonts w:hint="eastAsia"/>
                <w:color w:val="auto"/>
                <w:sz w:val="18"/>
                <w:szCs w:val="18"/>
              </w:rPr>
              <w:t>采购管理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/外部提供的过程、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顾客财产、标识和追溯/可追溯性、产品防护、产品放行、不合格品控制、投诉处理、产品撤回/召回、应急准备和响应、GMP/OPRP</w:t>
            </w:r>
            <w:r>
              <w:rPr>
                <w:rFonts w:hint="default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CCP</w:t>
            </w:r>
            <w:r>
              <w:rPr>
                <w:sz w:val="18"/>
                <w:szCs w:val="18"/>
                <w:lang w:eastAsia="zh-CN"/>
              </w:rPr>
              <w:t>的实施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致敏物管理、食品防护、食品欺诈管理等；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8"/>
                <w:szCs w:val="18"/>
              </w:rPr>
              <w:t>危险源识别及控制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现场运行控制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环境/</w:t>
            </w:r>
            <w:r>
              <w:rPr>
                <w:rFonts w:hint="eastAsia"/>
                <w:color w:val="auto"/>
                <w:sz w:val="18"/>
                <w:szCs w:val="18"/>
              </w:rPr>
              <w:t>职业健康安全绩效控制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trike/>
                <w:dstrike w:val="0"/>
                <w:color w:val="auto"/>
                <w:sz w:val="18"/>
                <w:szCs w:val="18"/>
              </w:rPr>
              <w:t>危险作业控制防雷检测、手持电动工具、公用工程（如配电室、锅炉房、空压站、尾气处理设备等）</w:t>
            </w:r>
          </w:p>
        </w:tc>
        <w:tc>
          <w:tcPr>
            <w:tcW w:w="2469" w:type="dxa"/>
            <w:shd w:val="clear" w:color="auto" w:fill="F5C5F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7.1.5/8.1/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8.2/8.3/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.6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/8.6/8.7/9.1.2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F:5.3/6.2/7.1.3/7.1.4/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7.1.6/8.1/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8.7/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H:2.4.2/2.5.1/3.3/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3.4/3.5/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3.7/3.9/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3.11/3.12/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/5.2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E: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6.1.2/6.1.4/6.2/8.1/8.2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6.1.2/6.1.4/6.2/8.1/8.2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5C5FE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B：QF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3" w:type="dxa"/>
            <w:shd w:val="clear" w:color="auto" w:fill="FFFF00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领导层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总要求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内外部环境、相关方需求和期望识别、合规义务、</w:t>
            </w:r>
            <w:r>
              <w:rPr>
                <w:color w:val="auto"/>
                <w:sz w:val="18"/>
                <w:szCs w:val="18"/>
              </w:rPr>
              <w:t>方针和目标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管理体系范围、管理体系及其过程、领导作用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与承诺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岗位和职责、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管理方针、管理</w:t>
            </w:r>
            <w:r>
              <w:rPr>
                <w:rFonts w:hint="eastAsia"/>
                <w:color w:val="auto"/>
                <w:sz w:val="18"/>
                <w:szCs w:val="18"/>
              </w:rPr>
              <w:t>目标及其实现的策划、风险和机遇识别及应对措施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风险和机遇识别及应对措施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总则EO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color w:val="auto"/>
                <w:sz w:val="18"/>
                <w:szCs w:val="18"/>
              </w:rPr>
              <w:t>变更的策划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应急准备和响应、资源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/资源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color w:val="auto"/>
                <w:sz w:val="18"/>
                <w:szCs w:val="18"/>
              </w:rPr>
              <w:t>、沟通、食品安全文化、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文件化信息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auto"/>
                <w:sz w:val="18"/>
                <w:szCs w:val="18"/>
              </w:rPr>
              <w:t>总则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color w:val="auto"/>
                <w:sz w:val="18"/>
                <w:szCs w:val="18"/>
              </w:rPr>
              <w:t>运行策划和控制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监视测量分析和评价（总则）、内部审核、管理评审、改进（总则）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纠正措施、持续改进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、</w:t>
            </w:r>
          </w:p>
        </w:tc>
        <w:tc>
          <w:tcPr>
            <w:tcW w:w="2469" w:type="dxa"/>
            <w:shd w:val="clear" w:color="auto" w:fill="FFFF00"/>
            <w:vAlign w:val="top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Q:</w:t>
            </w:r>
            <w:r>
              <w:rPr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4.4/5.1/5.2/5.3/6.1/6.2/6.3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7.5.1/</w:t>
            </w:r>
            <w:r>
              <w:rPr>
                <w:color w:val="auto"/>
                <w:sz w:val="18"/>
                <w:szCs w:val="18"/>
              </w:rPr>
              <w:t>9.1.1/9.2/9.3/10.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1/10.2/</w:t>
            </w:r>
            <w:r>
              <w:rPr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E:</w:t>
            </w:r>
            <w:r>
              <w:rPr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4.4/5.1/5.2/5.3/6.1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color w:val="auto"/>
                <w:sz w:val="18"/>
                <w:szCs w:val="18"/>
              </w:rPr>
              <w:t>/6.2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7.5.1/8.2/</w:t>
            </w:r>
            <w:r>
              <w:rPr>
                <w:color w:val="auto"/>
                <w:sz w:val="18"/>
                <w:szCs w:val="18"/>
                <w:highlight w:val="none"/>
              </w:rPr>
              <w:t>9.1.1</w:t>
            </w:r>
            <w:r>
              <w:rPr>
                <w:color w:val="auto"/>
                <w:sz w:val="18"/>
                <w:szCs w:val="18"/>
              </w:rPr>
              <w:t>/9.3/10.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OHS:</w:t>
            </w:r>
            <w:r>
              <w:rPr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4.4/5.1/5.2/5.3/6.1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color w:val="auto"/>
                <w:sz w:val="18"/>
                <w:szCs w:val="18"/>
              </w:rPr>
              <w:t>/6.2/7.1</w:t>
            </w:r>
            <w:r>
              <w:rPr>
                <w:rFonts w:hint="eastAsia"/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7.5.1/8.2/</w:t>
            </w:r>
            <w:r>
              <w:rPr>
                <w:color w:val="auto"/>
                <w:sz w:val="18"/>
                <w:szCs w:val="18"/>
                <w:highlight w:val="none"/>
              </w:rPr>
              <w:t>9.1.1/</w:t>
            </w:r>
            <w:r>
              <w:rPr>
                <w:color w:val="auto"/>
                <w:sz w:val="18"/>
                <w:szCs w:val="18"/>
              </w:rPr>
              <w:t>9.3/10.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color w:val="auto"/>
                <w:sz w:val="18"/>
                <w:szCs w:val="18"/>
              </w:rPr>
              <w:t>10.3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9DFEF8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9DFEF8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领导层</w:t>
            </w:r>
          </w:p>
        </w:tc>
        <w:tc>
          <w:tcPr>
            <w:tcW w:w="3038" w:type="dxa"/>
            <w:shd w:val="clear" w:color="auto" w:fill="9DFEF8"/>
            <w:vAlign w:val="top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总要求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内外部环境、相关方需求和期望识别、合规义务、</w:t>
            </w:r>
            <w:r>
              <w:rPr>
                <w:color w:val="auto"/>
                <w:sz w:val="18"/>
                <w:szCs w:val="18"/>
              </w:rPr>
              <w:t>方针和目标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管理体系范围、管理体系及其过程、领导作用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与承诺</w:t>
            </w:r>
            <w:r>
              <w:rPr>
                <w:rFonts w:hint="eastAsia"/>
                <w:color w:val="auto"/>
                <w:sz w:val="18"/>
                <w:szCs w:val="18"/>
              </w:rPr>
              <w:t>、</w:t>
            </w:r>
            <w:r>
              <w:rPr>
                <w:color w:val="auto"/>
                <w:sz w:val="18"/>
                <w:szCs w:val="18"/>
              </w:rPr>
              <w:t>岗位和职责、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管理方针、管理</w:t>
            </w:r>
            <w:r>
              <w:rPr>
                <w:rFonts w:hint="eastAsia"/>
                <w:color w:val="auto"/>
                <w:sz w:val="18"/>
                <w:szCs w:val="18"/>
              </w:rPr>
              <w:t>目标及其实现的策划、风险和机遇识别及应对措施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风险和机遇识别及应对措施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总则EO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color w:val="auto"/>
                <w:sz w:val="18"/>
                <w:szCs w:val="18"/>
              </w:rPr>
              <w:t>变更的策划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应急准备和响应、资源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/资源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color w:val="auto"/>
                <w:sz w:val="18"/>
                <w:szCs w:val="18"/>
              </w:rPr>
              <w:t>、沟通、食品安全文化、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文件化信息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auto"/>
                <w:sz w:val="18"/>
                <w:szCs w:val="18"/>
              </w:rPr>
              <w:t>总则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color w:val="auto"/>
                <w:sz w:val="18"/>
                <w:szCs w:val="18"/>
              </w:rPr>
              <w:t>运行策划和控制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监视测量分析和评价（总则）、内部审核、管理评审、改进（总则）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、食品安全管理体系的更新</w:t>
            </w:r>
          </w:p>
        </w:tc>
        <w:tc>
          <w:tcPr>
            <w:tcW w:w="2469" w:type="dxa"/>
            <w:shd w:val="clear" w:color="auto" w:fill="9DFEF8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z w:val="18"/>
                <w:szCs w:val="18"/>
              </w:rPr>
              <w:t>F:4.1</w:t>
            </w:r>
            <w:r>
              <w:rPr>
                <w:rFonts w:hint="eastAsia"/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>4.4/5.1/5.2/5.3/6.1/6.2/6.3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7.4/7.5.1/8.4/</w:t>
            </w:r>
            <w:r>
              <w:rPr>
                <w:color w:val="auto"/>
                <w:sz w:val="18"/>
                <w:szCs w:val="18"/>
              </w:rPr>
              <w:t>9.1.1/9.3/10.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color w:val="auto"/>
                <w:sz w:val="18"/>
                <w:szCs w:val="18"/>
              </w:rPr>
              <w:t>10.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/1.2.1/1.2.2</w:t>
            </w:r>
            <w:r>
              <w:rPr>
                <w:rFonts w:hint="eastAsia"/>
                <w:color w:val="auto"/>
                <w:sz w:val="18"/>
                <w:szCs w:val="18"/>
              </w:rPr>
              <w:t>/2.1-2.5/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3.1/</w:t>
            </w:r>
            <w:r>
              <w:rPr>
                <w:rFonts w:hint="eastAsia"/>
                <w:color w:val="auto"/>
                <w:sz w:val="18"/>
                <w:szCs w:val="18"/>
              </w:rPr>
              <w:t>3.13</w:t>
            </w:r>
            <w:r>
              <w:rPr>
                <w:color w:val="auto"/>
                <w:sz w:val="18"/>
                <w:szCs w:val="18"/>
              </w:rPr>
              <w:t>/5.4/5.5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9DFEF8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午餐休息</w:t>
            </w:r>
          </w:p>
        </w:tc>
        <w:tc>
          <w:tcPr>
            <w:tcW w:w="3038" w:type="dxa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69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4ACFC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shd w:val="clear" w:color="auto" w:fill="F4ACFC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370" w:type="dxa"/>
            <w:shd w:val="clear" w:color="auto" w:fill="F4ACFC"/>
            <w:vAlign w:val="center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销售部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及现场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日班、晚班次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F4ACFC"/>
            <w:vAlign w:val="top"/>
          </w:tcPr>
          <w:p>
            <w:pPr>
              <w:spacing w:line="300" w:lineRule="exac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部门职责、目标管理、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前提方案/良好卫生规范现场情况、基础设施、工作环境、监视和测量资源、生产和服务策划和提供、产品和服务的要求、产品和服务的设计和开发、</w:t>
            </w:r>
            <w:r>
              <w:rPr>
                <w:rFonts w:hint="eastAsia"/>
                <w:color w:val="auto"/>
                <w:sz w:val="18"/>
                <w:szCs w:val="18"/>
              </w:rPr>
              <w:t>采购管理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/外部提供的过程、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顾客财产、标识和追溯/可追溯性、产品防护、产品放行、不合格品控制、投诉处理、产品撤回/召回、应急准备和响应、GMP/OPRP</w:t>
            </w:r>
            <w:r>
              <w:rPr>
                <w:rFonts w:hint="default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CCP</w:t>
            </w:r>
            <w:r>
              <w:rPr>
                <w:sz w:val="18"/>
                <w:szCs w:val="18"/>
                <w:lang w:eastAsia="zh-CN"/>
              </w:rPr>
              <w:t>的实施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致敏物管理、食品防护、食品欺诈管理等；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环境因素识别及控制、</w:t>
            </w:r>
            <w:r>
              <w:rPr>
                <w:rFonts w:hint="eastAsia"/>
                <w:color w:val="auto"/>
                <w:sz w:val="18"/>
                <w:szCs w:val="18"/>
              </w:rPr>
              <w:t>危险源识别及控制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现场运行控制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环境/</w:t>
            </w:r>
            <w:r>
              <w:rPr>
                <w:rFonts w:hint="eastAsia"/>
                <w:color w:val="auto"/>
                <w:sz w:val="18"/>
                <w:szCs w:val="18"/>
              </w:rPr>
              <w:t>职业健康安全绩效控制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trike/>
                <w:dstrike w:val="0"/>
                <w:color w:val="auto"/>
                <w:sz w:val="18"/>
                <w:szCs w:val="18"/>
              </w:rPr>
              <w:t>危险作业控制防雷检测、手持电动工具、公用工程（如配电室、锅炉房、空压站、尾气处理设备等）</w:t>
            </w:r>
          </w:p>
        </w:tc>
        <w:tc>
          <w:tcPr>
            <w:tcW w:w="2469" w:type="dxa"/>
            <w:shd w:val="clear" w:color="auto" w:fill="F4ACFC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7.1.5/8.1/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8.2/8.3/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.2/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.3/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.4/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8.5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lang w:val="en-US" w:eastAsia="zh-CN"/>
              </w:rPr>
              <w:t>.6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/8.6/8.7/9.1.2</w:t>
            </w:r>
          </w:p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</w:rPr>
              <w:t>F:5.3/6.2/7.1.3/7.1.4/</w:t>
            </w:r>
            <w:r>
              <w:rPr>
                <w:rFonts w:hint="eastAsia" w:cs="Times New Roman" w:eastAsiaTheme="minorEastAsia"/>
                <w:sz w:val="18"/>
                <w:szCs w:val="18"/>
                <w:highlight w:val="none"/>
                <w:lang w:val="en-US" w:eastAsia="zh-CN"/>
              </w:rPr>
              <w:t>7.1.6/8.1/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8.2/8.3/8.4/8.5.4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8.7/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H:2.4.2/2.5.1/3.3/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3.4/3.5/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3.7/3.9/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3.11/3.12/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4.3.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/5.2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E: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6.1.2/6.1.4/6.2/8.1/8.2</w:t>
            </w: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6.1.2/6.1.4/6.2/8.1/8.2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4ACFC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B：QF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-17:30</w:t>
            </w:r>
          </w:p>
        </w:tc>
        <w:tc>
          <w:tcPr>
            <w:tcW w:w="1370" w:type="dxa"/>
            <w:shd w:val="clear" w:color="auto" w:fill="FFFF00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FFFF00"/>
            <w:vAlign w:val="center"/>
          </w:tcPr>
          <w:p>
            <w:pPr>
              <w:spacing w:line="30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部门职责、目标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FFFF00"/>
            <w:vAlign w:val="top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bookmarkStart w:id="33" w:name="_GoBack"/>
            <w:bookmarkEnd w:id="33"/>
            <w:r>
              <w:rPr>
                <w:rFonts w:hint="eastAsia"/>
                <w:sz w:val="18"/>
                <w:szCs w:val="18"/>
                <w:highlight w:val="none"/>
              </w:rPr>
              <w:t>Q：5</w:t>
            </w:r>
            <w:r>
              <w:rPr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  <w:r>
              <w:rPr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sz w:val="18"/>
                <w:szCs w:val="18"/>
                <w:highlight w:val="none"/>
              </w:rPr>
              <w:t>7.1.2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7.1.6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sz w:val="18"/>
                <w:szCs w:val="18"/>
                <w:highlight w:val="none"/>
              </w:rPr>
              <w:t>7.2/7.3/7.4/7.5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9.1.3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E: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  <w:highlight w:val="none"/>
              </w:rPr>
              <w:t>6.1.2/6.1.3/6.1.4/6.2/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7.2/7.3/7.4/7.5/</w:t>
            </w:r>
            <w:r>
              <w:rPr>
                <w:color w:val="auto"/>
                <w:sz w:val="18"/>
                <w:szCs w:val="18"/>
                <w:highlight w:val="none"/>
              </w:rPr>
              <w:t>8.1/8.2/9.1.2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/9.2/</w:t>
            </w:r>
            <w:r>
              <w:rPr>
                <w:color w:val="auto"/>
                <w:sz w:val="18"/>
                <w:szCs w:val="18"/>
                <w:highlight w:val="none"/>
              </w:rPr>
              <w:t>10.2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O: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  <w:highlight w:val="none"/>
              </w:rPr>
              <w:t>6.1.2/6.1.3/6.1.4/6.2/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7.2/7.3/7.4/7.5/</w:t>
            </w:r>
            <w:r>
              <w:rPr>
                <w:color w:val="auto"/>
                <w:sz w:val="18"/>
                <w:szCs w:val="18"/>
                <w:highlight w:val="none"/>
              </w:rPr>
              <w:t>8.1/8.2/9.1.2/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color w:val="auto"/>
                <w:sz w:val="18"/>
                <w:szCs w:val="18"/>
                <w:highlight w:val="none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370" w:type="dxa"/>
            <w:shd w:val="clear" w:color="auto" w:fill="9DFEF8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9DFEF8"/>
            <w:vAlign w:val="center"/>
          </w:tcPr>
          <w:p>
            <w:pPr>
              <w:spacing w:line="30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部门职责、目标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9DFEF8"/>
            <w:vAlign w:val="top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</w:rPr>
              <w:t>F</w:t>
            </w:r>
            <w:r>
              <w:rPr>
                <w:rFonts w:hint="eastAsia"/>
                <w:sz w:val="18"/>
                <w:szCs w:val="18"/>
                <w:highlight w:val="none"/>
              </w:rPr>
              <w:t>：5</w:t>
            </w:r>
            <w:r>
              <w:rPr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  <w:r>
              <w:rPr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sz w:val="18"/>
                <w:szCs w:val="18"/>
                <w:highlight w:val="none"/>
              </w:rPr>
              <w:t>7.1.2</w:t>
            </w:r>
            <w:r>
              <w:rPr>
                <w:sz w:val="18"/>
                <w:szCs w:val="18"/>
                <w:highlight w:val="none"/>
              </w:rPr>
              <w:t>/7.2/7.3/7.4/7.5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9.1.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2/10.1</w:t>
            </w:r>
          </w:p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</w:rPr>
              <w:t>H:1.2.3/1.2.4/2.4.2/2.5.1/2.5.2.1/3.2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/5.1/5.3/5.4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9DFEF8"/>
            <w:vAlign w:val="top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18:00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结束（9小时）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4ACFC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11-25</w:t>
            </w:r>
          </w:p>
        </w:tc>
        <w:tc>
          <w:tcPr>
            <w:tcW w:w="1213" w:type="dxa"/>
            <w:shd w:val="clear" w:color="auto" w:fill="F4ACFC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F4ACFC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食品安全小组/HACCP小组</w:t>
            </w:r>
          </w:p>
        </w:tc>
        <w:tc>
          <w:tcPr>
            <w:tcW w:w="3038" w:type="dxa"/>
            <w:shd w:val="clear" w:color="auto" w:fill="F4ACFC"/>
            <w:vAlign w:val="top"/>
          </w:tcPr>
          <w:p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469" w:type="dxa"/>
            <w:shd w:val="clear" w:color="auto" w:fill="F4ACFC"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7.1.5/8.2/8.3/8.5/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3.1/3.3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3.7/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3.11/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3.12/4.1-4.6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4ACFC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A:FH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B:F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FFFF00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综合部——继续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FFFF00"/>
            <w:vAlign w:val="center"/>
          </w:tcPr>
          <w:p>
            <w:pPr>
              <w:spacing w:line="30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部门职责、目标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FFFF00"/>
            <w:vAlign w:val="top"/>
          </w:tcPr>
          <w:p>
            <w:pPr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Q：5</w:t>
            </w:r>
            <w:r>
              <w:rPr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  <w:r>
              <w:rPr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sz w:val="18"/>
                <w:szCs w:val="18"/>
                <w:highlight w:val="none"/>
              </w:rPr>
              <w:t>7.1.2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7.1.6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sz w:val="18"/>
                <w:szCs w:val="18"/>
                <w:highlight w:val="none"/>
              </w:rPr>
              <w:t>7.2/7.3/7.4/7.5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9.1.3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E: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  <w:highlight w:val="none"/>
              </w:rPr>
              <w:t>6.1.2/6.1.3/6.1.4/6.2/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7.2/7.3/7.4/7.5/</w:t>
            </w:r>
            <w:r>
              <w:rPr>
                <w:color w:val="auto"/>
                <w:sz w:val="18"/>
                <w:szCs w:val="18"/>
                <w:highlight w:val="none"/>
              </w:rPr>
              <w:t>8.1/8.2/9.1.2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/9.2/</w:t>
            </w:r>
            <w:r>
              <w:rPr>
                <w:color w:val="auto"/>
                <w:sz w:val="18"/>
                <w:szCs w:val="18"/>
                <w:highlight w:val="none"/>
              </w:rPr>
              <w:t>10.2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O: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  <w:highlight w:val="none"/>
              </w:rPr>
              <w:t>6.1.2/6.1.3/6.1.4/6.2/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7.2/7.3/7.4/7.5/</w:t>
            </w:r>
            <w:r>
              <w:rPr>
                <w:color w:val="auto"/>
                <w:sz w:val="18"/>
                <w:szCs w:val="18"/>
                <w:highlight w:val="none"/>
              </w:rPr>
              <w:t>8.1/8.2/9.1.2/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color w:val="auto"/>
                <w:sz w:val="18"/>
                <w:szCs w:val="18"/>
                <w:highlight w:val="none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-12:30</w:t>
            </w:r>
          </w:p>
        </w:tc>
        <w:tc>
          <w:tcPr>
            <w:tcW w:w="1370" w:type="dxa"/>
            <w:shd w:val="clear" w:color="auto" w:fill="9DFEF8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综合部——继续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9DFEF8"/>
            <w:vAlign w:val="center"/>
          </w:tcPr>
          <w:p>
            <w:pPr>
              <w:spacing w:line="30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部门职责、目标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9DFEF8"/>
            <w:vAlign w:val="top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F</w:t>
            </w:r>
            <w:r>
              <w:rPr>
                <w:rFonts w:hint="eastAsia"/>
                <w:sz w:val="18"/>
                <w:szCs w:val="18"/>
                <w:highlight w:val="none"/>
              </w:rPr>
              <w:t>：5</w:t>
            </w:r>
            <w:r>
              <w:rPr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  <w:r>
              <w:rPr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sz w:val="18"/>
                <w:szCs w:val="18"/>
                <w:highlight w:val="none"/>
              </w:rPr>
              <w:t>7.1.2</w:t>
            </w:r>
            <w:r>
              <w:rPr>
                <w:sz w:val="18"/>
                <w:szCs w:val="18"/>
                <w:highlight w:val="none"/>
              </w:rPr>
              <w:t>/7.2/7.3/7.4/7.5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/</w:t>
            </w:r>
          </w:p>
          <w:p>
            <w:pPr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9.1.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2/10.1</w:t>
            </w:r>
          </w:p>
          <w:p>
            <w:pPr>
              <w:spacing w:line="300" w:lineRule="exact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</w:rPr>
              <w:t>H:1.2.3/1.2.4/2.4.2/2.5.1/2.5.2.1/3.2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/5.1/5.3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9DFEF8"/>
            <w:vAlign w:val="top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12:30-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午餐休息</w:t>
            </w:r>
          </w:p>
        </w:tc>
        <w:tc>
          <w:tcPr>
            <w:tcW w:w="303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4ACFC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11-24</w:t>
            </w:r>
          </w:p>
        </w:tc>
        <w:tc>
          <w:tcPr>
            <w:tcW w:w="1213" w:type="dxa"/>
            <w:shd w:val="clear" w:color="auto" w:fill="F4ACFC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-14:00</w:t>
            </w:r>
          </w:p>
        </w:tc>
        <w:tc>
          <w:tcPr>
            <w:tcW w:w="1370" w:type="dxa"/>
            <w:shd w:val="clear" w:color="auto" w:fill="F4ACFC"/>
            <w:vAlign w:val="top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食品安全小组/HACCP小组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继续</w:t>
            </w:r>
          </w:p>
        </w:tc>
        <w:tc>
          <w:tcPr>
            <w:tcW w:w="3038" w:type="dxa"/>
            <w:shd w:val="clear" w:color="auto" w:fill="F4ACFC"/>
            <w:vAlign w:val="top"/>
          </w:tcPr>
          <w:p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469" w:type="dxa"/>
            <w:shd w:val="clear" w:color="auto" w:fill="F4ACFC"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7.1.5/8.2/8.3/8.5/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3.7/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3.11/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3.12/4.1-4.6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4ACFC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A:FH</w:t>
            </w: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B:F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5C5FE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F5C5F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-15:30</w:t>
            </w:r>
          </w:p>
        </w:tc>
        <w:tc>
          <w:tcPr>
            <w:tcW w:w="1370" w:type="dxa"/>
            <w:shd w:val="clear" w:color="auto" w:fill="F5C5FE"/>
            <w:vAlign w:val="center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3038" w:type="dxa"/>
            <w:shd w:val="clear" w:color="auto" w:fill="F5C5FE"/>
            <w:vAlign w:val="top"/>
          </w:tcPr>
          <w:p>
            <w:pPr>
              <w:spacing w:line="300" w:lineRule="exact"/>
              <w:jc w:val="left"/>
              <w:rPr>
                <w:rFonts w:hint="eastAsia" w:eastAsia="宋体" w:cs="Times New Roman" w:asciiTheme="minorEastAsia" w:hAnsiTheme="minorEastAsia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环境因素识别和危险源辨识和评价，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合规义务、</w:t>
            </w:r>
            <w:r>
              <w:rPr>
                <w:sz w:val="18"/>
                <w:szCs w:val="18"/>
              </w:rPr>
              <w:t>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2469" w:type="dxa"/>
            <w:shd w:val="clear" w:color="auto" w:fill="F5C5FE"/>
            <w:vAlign w:val="top"/>
          </w:tcPr>
          <w:p>
            <w:pPr>
              <w:spacing w:line="300" w:lineRule="exac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E:6.1.2/6.1.3/6.1.4/9.1.2</w:t>
            </w:r>
          </w:p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O:6.1.2/6.1.3/6.1.4/9.1.2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5C5FE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A:QEOFH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-15:00</w:t>
            </w:r>
          </w:p>
        </w:tc>
        <w:tc>
          <w:tcPr>
            <w:tcW w:w="1370" w:type="dxa"/>
            <w:shd w:val="clear" w:color="auto" w:fill="FFFF00"/>
            <w:vAlign w:val="center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综合部——继续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FFFF00"/>
            <w:vAlign w:val="center"/>
          </w:tcPr>
          <w:p>
            <w:pPr>
              <w:spacing w:line="30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部门职责、目标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估、环境因素、合规义务/法律法规要求和其他要求的确定、危险源辨识及风险和机遇的评价、措施的策划、环境和职业健康运行的策划和控制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FFFF00"/>
            <w:vAlign w:val="top"/>
          </w:tcPr>
          <w:p>
            <w:pPr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Q：5</w:t>
            </w:r>
            <w:r>
              <w:rPr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  <w:r>
              <w:rPr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sz w:val="18"/>
                <w:szCs w:val="18"/>
                <w:highlight w:val="none"/>
              </w:rPr>
              <w:t>7.1.2</w:t>
            </w:r>
            <w:r>
              <w:rPr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</w:rPr>
              <w:t>7.1.6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sz w:val="18"/>
                <w:szCs w:val="18"/>
                <w:highlight w:val="none"/>
              </w:rPr>
              <w:t>7.2/7.3/7.4/7.5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9.1.3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E: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  <w:highlight w:val="none"/>
              </w:rPr>
              <w:t>6.1.2/6.1.3/6.1.4/6.2/8.1/8.2/9.1.2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/9.2/</w:t>
            </w:r>
            <w:r>
              <w:rPr>
                <w:color w:val="auto"/>
                <w:sz w:val="18"/>
                <w:szCs w:val="18"/>
                <w:highlight w:val="none"/>
              </w:rPr>
              <w:t>10.2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O: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  <w:highlight w:val="none"/>
              </w:rPr>
              <w:t>6.1.2/6.1.3/6.1.4/6.2/8.1/8.2/9.1.2/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color w:val="auto"/>
                <w:sz w:val="18"/>
                <w:szCs w:val="18"/>
                <w:highlight w:val="none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00"/>
            <w:vAlign w:val="center"/>
          </w:tcPr>
          <w:p>
            <w:pPr>
              <w:pStyle w:val="2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14:30-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</w:t>
            </w:r>
          </w:p>
        </w:tc>
        <w:tc>
          <w:tcPr>
            <w:tcW w:w="1370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员工代表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事故调查、沟通</w:t>
            </w:r>
          </w:p>
        </w:tc>
        <w:tc>
          <w:tcPr>
            <w:tcW w:w="2469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OHS: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7.4.2、10</w:t>
            </w:r>
            <w:r>
              <w:rPr>
                <w:rFonts w:hint="eastAsia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综合部（财务）</w:t>
            </w:r>
          </w:p>
        </w:tc>
        <w:tc>
          <w:tcPr>
            <w:tcW w:w="3038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资源提供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、应急、事件不符合</w:t>
            </w:r>
          </w:p>
        </w:tc>
        <w:tc>
          <w:tcPr>
            <w:tcW w:w="2469" w:type="dxa"/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EMS: 7.1,</w:t>
            </w:r>
            <w:r>
              <w:rPr>
                <w:rFonts w:hint="eastAsia"/>
                <w:sz w:val="18"/>
                <w:szCs w:val="18"/>
              </w:rPr>
              <w:t>/8.2/10.2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OHS: 7.1</w:t>
            </w:r>
            <w:r>
              <w:rPr>
                <w:rFonts w:hint="eastAsia"/>
                <w:sz w:val="18"/>
                <w:szCs w:val="18"/>
              </w:rPr>
              <w:t>/8.2/10.2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  <w:shd w:val="clear" w:color="auto" w:fill="9DFEF8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1370" w:type="dxa"/>
            <w:shd w:val="clear" w:color="auto" w:fill="9DFEF8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综合部——继续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9DFEF8"/>
            <w:vAlign w:val="center"/>
          </w:tcPr>
          <w:p>
            <w:pPr>
              <w:spacing w:line="30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部门职责、目标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z w:val="18"/>
                <w:szCs w:val="18"/>
              </w:rPr>
              <w:t>目标指标和管理方案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分析和评估、应急准备和响应【EO】、内部审核、事件不符合和纠正措施，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辅助设施（</w:t>
            </w:r>
            <w:r>
              <w:rPr>
                <w:rFonts w:hint="eastAsia"/>
                <w:sz w:val="18"/>
                <w:szCs w:val="18"/>
              </w:rPr>
              <w:t>适用时，可包括</w:t>
            </w:r>
            <w:r>
              <w:rPr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469" w:type="dxa"/>
            <w:shd w:val="clear" w:color="auto" w:fill="9DFEF8"/>
            <w:vAlign w:val="top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F</w:t>
            </w:r>
            <w:r>
              <w:rPr>
                <w:rFonts w:hint="eastAsia"/>
                <w:sz w:val="18"/>
                <w:szCs w:val="18"/>
                <w:highlight w:val="none"/>
              </w:rPr>
              <w:t>：5</w:t>
            </w:r>
            <w:r>
              <w:rPr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sz w:val="18"/>
                <w:szCs w:val="18"/>
                <w:highlight w:val="none"/>
              </w:rPr>
              <w:t>/</w:t>
            </w:r>
            <w:r>
              <w:rPr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sz w:val="18"/>
                <w:szCs w:val="18"/>
                <w:highlight w:val="none"/>
              </w:rPr>
              <w:t>7.1.2</w:t>
            </w:r>
            <w:r>
              <w:rPr>
                <w:sz w:val="18"/>
                <w:szCs w:val="18"/>
                <w:highlight w:val="none"/>
              </w:rPr>
              <w:t>/7.2/7.3/7.4/7.5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/</w:t>
            </w:r>
          </w:p>
          <w:p>
            <w:pPr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9.2/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9.1.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2/10.1</w:t>
            </w:r>
          </w:p>
          <w:p>
            <w:pPr>
              <w:spacing w:line="300" w:lineRule="exact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</w:rPr>
              <w:t>H:1.2.3/1.2.4/2.4.2/2.5.1/2.5.2.1/3.2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/5.1/5.3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9DFEF8"/>
            <w:vAlign w:val="top"/>
          </w:tcPr>
          <w:p>
            <w:pPr>
              <w:pStyle w:val="2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D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/>
              </w:rPr>
              <w:t>（QQ、腾讯会议）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审核组会议 (重访，如需)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与管理者代表沟通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结束会议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（腾讯会议：423-650-614）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3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4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3C02B40"/>
    <w:rsid w:val="056E3A92"/>
    <w:rsid w:val="08B50FFC"/>
    <w:rsid w:val="0A3F3B56"/>
    <w:rsid w:val="0B5A4560"/>
    <w:rsid w:val="0CD048DD"/>
    <w:rsid w:val="129A3460"/>
    <w:rsid w:val="2184758B"/>
    <w:rsid w:val="24956FEA"/>
    <w:rsid w:val="306E3B3E"/>
    <w:rsid w:val="353C420B"/>
    <w:rsid w:val="48853CC3"/>
    <w:rsid w:val="4C196BFC"/>
    <w:rsid w:val="56ED049C"/>
    <w:rsid w:val="59444A7D"/>
    <w:rsid w:val="599154FE"/>
    <w:rsid w:val="612C3D67"/>
    <w:rsid w:val="621912AD"/>
    <w:rsid w:val="63247F09"/>
    <w:rsid w:val="64195594"/>
    <w:rsid w:val="66A56C29"/>
    <w:rsid w:val="67C819F6"/>
    <w:rsid w:val="73B77310"/>
    <w:rsid w:val="75D53CDB"/>
    <w:rsid w:val="76E934EC"/>
    <w:rsid w:val="77C67628"/>
    <w:rsid w:val="7B6845EE"/>
    <w:rsid w:val="7CA44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4401</Words>
  <Characters>7625</Characters>
  <Lines>37</Lines>
  <Paragraphs>10</Paragraphs>
  <TotalTime>2</TotalTime>
  <ScaleCrop>false</ScaleCrop>
  <LinksUpToDate>false</LinksUpToDate>
  <CharactersWithSpaces>7692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dcterms:modified xsi:type="dcterms:W3CDTF">2022-11-25T08:26:38Z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