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1220-2021-QEO-2022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532"/>
        <w:gridCol w:w="1309"/>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905"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四川思凯硕科技有限公司</w:t>
            </w:r>
            <w:bookmarkEnd w:id="1"/>
          </w:p>
        </w:tc>
        <w:tc>
          <w:tcPr>
            <w:tcW w:w="1309"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172"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905" w:type="dxa"/>
            <w:gridSpan w:val="2"/>
          </w:tcPr>
          <w:p>
            <w:pPr>
              <w:snapToGrid w:val="0"/>
              <w:spacing w:line="0" w:lineRule="atLeast"/>
              <w:jc w:val="center"/>
              <w:rPr>
                <w:sz w:val="22"/>
                <w:szCs w:val="22"/>
              </w:rPr>
            </w:pPr>
          </w:p>
        </w:tc>
        <w:tc>
          <w:tcPr>
            <w:tcW w:w="1309" w:type="dxa"/>
          </w:tcPr>
          <w:p>
            <w:pPr>
              <w:snapToGrid w:val="0"/>
              <w:spacing w:line="0" w:lineRule="atLeast"/>
              <w:jc w:val="center"/>
              <w:rPr>
                <w:sz w:val="22"/>
                <w:szCs w:val="22"/>
              </w:rPr>
            </w:pPr>
            <w:r>
              <w:rPr>
                <w:rFonts w:hint="eastAsia"/>
                <w:sz w:val="22"/>
                <w:szCs w:val="22"/>
                <w:lang w:val="en-GB"/>
              </w:rPr>
              <w:t>证书号</w:t>
            </w:r>
          </w:p>
        </w:tc>
        <w:tc>
          <w:tcPr>
            <w:tcW w:w="2172" w:type="dxa"/>
          </w:tcPr>
          <w:p>
            <w:pPr>
              <w:snapToGrid w:val="0"/>
              <w:spacing w:line="0" w:lineRule="atLeast"/>
              <w:jc w:val="center"/>
              <w:rPr>
                <w:sz w:val="22"/>
                <w:szCs w:val="22"/>
              </w:rPr>
            </w:pPr>
            <w:bookmarkStart w:id="3" w:name="证书编号"/>
            <w:r>
              <w:rPr>
                <w:sz w:val="22"/>
                <w:szCs w:val="22"/>
              </w:rPr>
              <w:t>Q:ISC-Q-2021-1833,E:ISC-E-2021-1262,O:ISC-O-2021-1153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905" w:type="dxa"/>
            <w:gridSpan w:val="2"/>
          </w:tcPr>
          <w:p>
            <w:pPr>
              <w:snapToGrid w:val="0"/>
              <w:spacing w:line="0" w:lineRule="atLeast"/>
              <w:jc w:val="center"/>
              <w:rPr>
                <w:sz w:val="22"/>
                <w:szCs w:val="22"/>
              </w:rPr>
            </w:pPr>
            <w:bookmarkStart w:id="4" w:name="机构代码"/>
            <w:r>
              <w:rPr>
                <w:sz w:val="22"/>
                <w:szCs w:val="22"/>
              </w:rPr>
              <w:t>91510113MA67KF426E</w:t>
            </w:r>
            <w:bookmarkEnd w:id="4"/>
          </w:p>
        </w:tc>
        <w:tc>
          <w:tcPr>
            <w:tcW w:w="1309" w:type="dxa"/>
          </w:tcPr>
          <w:p>
            <w:pPr>
              <w:snapToGrid w:val="0"/>
              <w:spacing w:line="0" w:lineRule="atLeast"/>
              <w:jc w:val="center"/>
              <w:rPr>
                <w:sz w:val="22"/>
                <w:szCs w:val="22"/>
              </w:rPr>
            </w:pPr>
            <w:r>
              <w:rPr>
                <w:rFonts w:hint="eastAsia"/>
                <w:sz w:val="22"/>
                <w:szCs w:val="22"/>
              </w:rPr>
              <w:t>是否带CNAS标志</w:t>
            </w:r>
          </w:p>
        </w:tc>
        <w:tc>
          <w:tcPr>
            <w:tcW w:w="2172"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905"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09" w:type="dxa"/>
          </w:tcPr>
          <w:p>
            <w:pPr>
              <w:snapToGrid w:val="0"/>
              <w:spacing w:line="0" w:lineRule="atLeast"/>
              <w:jc w:val="center"/>
              <w:rPr>
                <w:sz w:val="22"/>
                <w:szCs w:val="22"/>
              </w:rPr>
            </w:pPr>
            <w:r>
              <w:rPr>
                <w:rFonts w:hint="eastAsia"/>
                <w:sz w:val="22"/>
                <w:szCs w:val="22"/>
              </w:rPr>
              <w:t>企业体系有效人数</w:t>
            </w:r>
          </w:p>
        </w:tc>
        <w:tc>
          <w:tcPr>
            <w:tcW w:w="2172" w:type="dxa"/>
          </w:tcPr>
          <w:p>
            <w:pPr>
              <w:snapToGrid w:val="0"/>
              <w:spacing w:line="0" w:lineRule="atLeast"/>
              <w:jc w:val="center"/>
              <w:rPr>
                <w:sz w:val="22"/>
                <w:szCs w:val="22"/>
              </w:rPr>
            </w:pPr>
            <w:bookmarkStart w:id="13" w:name="体系人数"/>
            <w:r>
              <w:rPr>
                <w:sz w:val="22"/>
                <w:szCs w:val="22"/>
              </w:rPr>
              <w:t>Q:12,E:12,O:12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四川思凯硕科技有限公司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Q：二次供水增压设备、污水处理一体化设备的设计及生产（组装）</w:t>
            </w:r>
          </w:p>
          <w:p>
            <w:pPr>
              <w:snapToGrid w:val="0"/>
              <w:spacing w:line="0" w:lineRule="atLeast"/>
              <w:jc w:val="left"/>
              <w:rPr>
                <w:sz w:val="22"/>
                <w:szCs w:val="22"/>
              </w:rPr>
            </w:pPr>
            <w:r>
              <w:rPr>
                <w:sz w:val="22"/>
                <w:szCs w:val="22"/>
              </w:rPr>
              <w:t>E：二次供水增压设备、污水处理一体化设备的设计及生产（组装）所涉及场所的相关环境管理活动</w:t>
            </w:r>
          </w:p>
          <w:p>
            <w:pPr>
              <w:snapToGrid w:val="0"/>
              <w:spacing w:line="0" w:lineRule="atLeast"/>
              <w:jc w:val="left"/>
              <w:rPr>
                <w:sz w:val="22"/>
                <w:szCs w:val="22"/>
              </w:rPr>
            </w:pPr>
            <w:r>
              <w:rPr>
                <w:sz w:val="22"/>
                <w:szCs w:val="22"/>
              </w:rPr>
              <w:t>O：二次供水增压设备、污水处理一体化设备的设计及生产（组装）所涉及场所的相关职业健康安全管理活动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成都市青白江区清泉大道二段6668号（欧洲产业城）</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成都市青白江区清泉大道二段6668号（欧洲产业城）</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w:t>
            </w:r>
            <w:bookmarkStart w:id="22" w:name="_GoBack"/>
            <w:bookmarkEnd w:id="22"/>
            <w:r>
              <w:rPr>
                <w:rFonts w:hint="eastAsia"/>
                <w:sz w:val="22"/>
                <w:szCs w:val="18"/>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905"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eastAsia" w:eastAsia="宋体" w:cs="Arial"/>
                <w:b/>
                <w:bCs/>
                <w:sz w:val="22"/>
                <w:szCs w:val="16"/>
                <w:lang w:eastAsia="zh-CN"/>
              </w:rPr>
            </w:pPr>
          </w:p>
          <w:p>
            <w:pPr>
              <w:snapToGrid w:val="0"/>
              <w:spacing w:line="0" w:lineRule="atLeast"/>
              <w:jc w:val="left"/>
              <w:rPr>
                <w:rFonts w:cs="Arial"/>
                <w:b/>
                <w:bCs/>
                <w:sz w:val="22"/>
                <w:szCs w:val="16"/>
              </w:rPr>
            </w:pPr>
          </w:p>
        </w:tc>
        <w:tc>
          <w:tcPr>
            <w:tcW w:w="1309" w:type="dxa"/>
          </w:tcPr>
          <w:p>
            <w:pPr>
              <w:snapToGrid w:val="0"/>
              <w:spacing w:line="0" w:lineRule="atLeast"/>
              <w:jc w:val="left"/>
              <w:rPr>
                <w:sz w:val="22"/>
                <w:szCs w:val="22"/>
              </w:rPr>
            </w:pPr>
            <w:r>
              <w:rPr>
                <w:rFonts w:hint="eastAsia"/>
                <w:sz w:val="22"/>
                <w:szCs w:val="18"/>
              </w:rPr>
              <w:t>审核组长签字</w:t>
            </w:r>
          </w:p>
        </w:tc>
        <w:tc>
          <w:tcPr>
            <w:tcW w:w="2172" w:type="dxa"/>
          </w:tcPr>
          <w:p>
            <w:pPr>
              <w:snapToGrid w:val="0"/>
              <w:spacing w:line="0" w:lineRule="atLeast"/>
              <w:jc w:val="left"/>
              <w:rPr>
                <w:sz w:val="22"/>
                <w:szCs w:val="22"/>
              </w:rPr>
            </w:pPr>
            <w:r>
              <w:rPr>
                <w:rFonts w:hint="eastAsia" w:eastAsia="宋体" w:cs="Arial"/>
                <w:b/>
                <w:bCs/>
                <w:sz w:val="22"/>
                <w:szCs w:val="16"/>
                <w:lang w:eastAsia="zh-CN"/>
              </w:rPr>
              <w:drawing>
                <wp:inline distT="0" distB="0" distL="114300" distR="114300">
                  <wp:extent cx="696595" cy="351155"/>
                  <wp:effectExtent l="0" t="0" r="1905" b="444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5"/>
                          <a:stretch>
                            <a:fillRect/>
                          </a:stretch>
                        </pic:blipFill>
                        <pic:spPr>
                          <a:xfrm>
                            <a:off x="0" y="0"/>
                            <a:ext cx="696595" cy="351155"/>
                          </a:xfrm>
                          <a:prstGeom prst="rect">
                            <a:avLst/>
                          </a:prstGeom>
                        </pic:spPr>
                      </pic:pic>
                    </a:graphicData>
                  </a:graphic>
                </wp:inline>
              </w:drawing>
            </w: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327C54A3"/>
    <w:rsid w:val="4A815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823</Words>
  <Characters>1359</Characters>
  <Lines>18</Lines>
  <Paragraphs>5</Paragraphs>
  <TotalTime>1</TotalTime>
  <ScaleCrop>false</ScaleCrop>
  <LinksUpToDate>false</LinksUpToDate>
  <CharactersWithSpaces>1505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2022-11-18T01:58:13Z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