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92"/>
        <w:gridCol w:w="324"/>
        <w:gridCol w:w="86"/>
        <w:gridCol w:w="1004"/>
        <w:gridCol w:w="545"/>
        <w:gridCol w:w="1289"/>
        <w:gridCol w:w="31"/>
        <w:gridCol w:w="82"/>
        <w:gridCol w:w="5"/>
        <w:gridCol w:w="459"/>
        <w:gridCol w:w="515"/>
        <w:gridCol w:w="444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四川思凯硕科技有限公司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成都市青白江区清泉大道二段6668号（欧洲产业城）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成都市青白江区清泉大道二段6668号（欧洲产业城）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谭玉红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18982268553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钟志成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1220-2021-QEO-2022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38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二次供水增压设备、污水处理一体化设备的设计及生产（组装）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二次供水增压设备、污水处理一体化设备的设计及生产（组装）所涉及场所的相关环境管理活动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二次供水增压设备、污水处理一体化设备的设计及生产（组装）所涉及场所的相关职业健康安全管理活动</w:t>
            </w:r>
            <w:bookmarkEnd w:id="25"/>
          </w:p>
        </w:tc>
        <w:tc>
          <w:tcPr>
            <w:tcW w:w="57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18.02.06;18.05.07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18.02.06;18.05.07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18.02.06;18.05.07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2022年11月16日 上午至2022年11月16日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2022-N0QMS-1296764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Q:18.02.06,18.05.07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E:18.02.06,18.05.07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O:18.02.06,18.05.07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4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vAlign w:val="center"/>
          </w:tcPr>
          <w:p/>
        </w:tc>
        <w:tc>
          <w:tcPr>
            <w:tcW w:w="10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/>
        </w:tc>
        <w:tc>
          <w:tcPr>
            <w:tcW w:w="1423" w:type="dxa"/>
            <w:gridSpan w:val="4"/>
            <w:vAlign w:val="center"/>
          </w:tcPr>
          <w:p/>
        </w:tc>
        <w:tc>
          <w:tcPr>
            <w:tcW w:w="10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83185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5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1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1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092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89"/>
        <w:gridCol w:w="825"/>
        <w:gridCol w:w="674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审核日程安排表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7565" w:type="dxa"/>
            <w:gridSpan w:val="2"/>
            <w:vAlign w:val="center"/>
          </w:tcPr>
          <w:p>
            <w:pPr>
              <w:snapToGrid w:val="0"/>
              <w:spacing w:line="320" w:lineRule="exact"/>
              <w:ind w:left="240" w:hanging="211" w:hanging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首次会议（视频会议）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left="240" w:hanging="211" w:hanging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4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825" w:type="dxa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</w:t>
            </w:r>
            <w:bookmarkStart w:id="37" w:name="_GoBack"/>
            <w:bookmarkEnd w:id="37"/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理层</w:t>
            </w:r>
          </w:p>
        </w:tc>
        <w:tc>
          <w:tcPr>
            <w:tcW w:w="674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及其过程；5.1领导作用与承诺；5.2方针；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6.1.1策划总则；6.2目标及其实现的策划；7.1资源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4.1组织及其环境；4.2相关方需求与期望；4.3确定体系范围；4.4体系；5.1领导作用与承诺；5.2方针；5.3组织的角色、职责和权限；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6.1应对风险和机遇的措施；6.2目标及其实现的策划；7.1资源；9.1监视、测量、分析和评价；9.2内部审核；9.3管理评审；10.1改进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资质的确认、管理体系变化情况、质量监督抽查情况、顾客对产品质量的投诉、环境安全投诉，认证证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书及标识使用情况、上次不符合验证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生产部Q7.1.5条款）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冉景洲、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马焕秋（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  <w:p>
            <w:pPr>
              <w:snapToGrid w:val="0"/>
              <w:spacing w:line="280" w:lineRule="exact"/>
              <w:ind w:firstLine="840" w:firstLineChars="40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840" w:firstLineChars="40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840" w:firstLineChars="40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远程审核:手机微信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82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行政部（含财务）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74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EMS: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6.1.3合规义务；6.2目标及其达成的策划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OHSMS: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6.1.3法律法规要求和其他要求；6.2目标及其实现的策划8.1运行策划和控制；8.2应急准备和响应；9.1监视、测量、分析和评价；9.1.2法律法规要求和其他要求的合规性评价；10.2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远程审核:手机微信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30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674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EMS: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de-DE" w:eastAsia="zh-CN"/>
              </w:rPr>
              <w:t>OHSMS: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远程审核:手机微信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74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上次不符合验证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8.1运行策划和控制；8.3设计开发控制；8.5.1生产和服务提供的控制；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EMS: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de-DE" w:eastAsia="zh-CN"/>
              </w:rPr>
              <w:t>OHSMS: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马焕秋（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left="240" w:hanging="210" w:hangingChars="1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远程审核:手机微信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:30-1</w:t>
            </w:r>
            <w:r>
              <w:rPr>
                <w:rFonts w:hint="eastAsia" w:ascii="宋体" w:hAnsi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7565" w:type="dxa"/>
            <w:gridSpan w:val="2"/>
            <w:vAlign w:val="center"/>
          </w:tcPr>
          <w:p>
            <w:pPr>
              <w:snapToGrid w:val="0"/>
              <w:spacing w:line="320" w:lineRule="exact"/>
              <w:ind w:left="240" w:hanging="211" w:hangingChars="100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审核组内部沟通,并与受审核方沟通，末次会议（视频会议）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left="240" w:hanging="211" w:hanging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B35596D"/>
    <w:rsid w:val="23165420"/>
    <w:rsid w:val="29282C7B"/>
    <w:rsid w:val="42AB51BD"/>
    <w:rsid w:val="49972A4F"/>
    <w:rsid w:val="53851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2534</Words>
  <Characters>3626</Characters>
  <Lines>37</Lines>
  <Paragraphs>10</Paragraphs>
  <TotalTime>2</TotalTime>
  <ScaleCrop>false</ScaleCrop>
  <LinksUpToDate>false</LinksUpToDate>
  <CharactersWithSpaces>3692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2022-11-15T13:46:13Z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