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88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69"/>
              </w:tabs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杭州海富植物有限公司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1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0" w:name="专业代码"/>
            <w:r>
              <w:rPr>
                <w:sz w:val="20"/>
              </w:rPr>
              <w:t>CIV-1;CIV-12;CIV-4;CIV-5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CIV-1;CIV-12;CIV-4;CIV-5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谷物碾压加工品（大米粉）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浸泡清洗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干燥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灭菌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粉碎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过筛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金探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配制酒（风味饮料酒）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配料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混合均质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灌装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压盖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杀菌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果蔬固体饮料（果蔬粉）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清洗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Segoe UI Emoji" w:hAnsi="Segoe UI Emoji" w:cs="Segoe UI Emoji"/>
                <w:sz w:val="21"/>
                <w:szCs w:val="21"/>
                <w:highlight w:val="none"/>
                <w:lang w:val="en-US" w:eastAsia="zh-CN"/>
              </w:rPr>
              <w:t>分切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速冻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冷冻干燥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粉碎过筛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配料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混合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内包材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金探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其他固体饮料（决明子粉）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清洗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煎煮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浓缩提取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配料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混合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干燥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粉碎过筛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金探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设备的清洗消毒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设备的维护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咖啡固体饮料（超即溶冷萃咖啡粉） 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粉碎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浸泡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咖啡萃取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速冻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冷冻干燥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打散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金探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咖啡饮料（T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NO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意式原味口粮咖啡液）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粉碎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浸泡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咖啡萃取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灌装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杀菌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植物饮料（人参水）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清洗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配料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煎煮混合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过滤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暂存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均质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暂存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瞬时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杀菌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灌装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压盖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高温杀菌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冷却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风味饮料（五红水）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清洗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配料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煎煮混合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过滤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均质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灌装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压盖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高温杀菌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冷却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调味茶：袋泡茶（T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>NO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葡萄乌龙棒棒茶） 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原辅料验收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贮存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拆包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挑选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拼配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混合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金探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外包装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成品检验</w:t>
            </w:r>
            <w:r>
              <w:rPr>
                <w:rFonts w:hint="eastAsia" w:ascii="Segoe UI Emoji" w:hAnsi="Segoe UI Emoji" w:eastAsia="Segoe UI Emoji" w:cs="Segoe UI Emoji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1）原辅料验收：农残、重金属超标——控制措施：从合格供方采购、每年索取第三方检测报告；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2）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谷物碾压加工品（大米粉）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的食品安全危害微生物超标——控制措施：杀菌温度、时间；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谷物碾压加工品（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生产/服务流程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大米粉）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和固体饮料类的食品安全危害：金属异物——控制措施：通过金探检测；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4）其他饮料（咖啡类饮料、植物饮料、风味饮料）、配制酒（露酒）、袋泡调味茶的食品安全危害：微生物超标——控制措施：杀菌温度、时间；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CCAA 0017-2014(CNCA/CTS 0027-2008A)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食品安全管理体系 茶叶、含茶制品及代用茶加工生产企业要求》、</w:t>
            </w: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CCAA 0016-2014(CNCA/CTS 0026-2008A)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食品安全国家标准 饮料生产企业要求</w:t>
            </w: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》、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CCAA 0001-2014(CNCA/CTS 0006-2008A)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食品安全管理体系  谷物加工企业要求》、《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eastAsia="zh-CN"/>
              </w:rPr>
              <w:t>CCAA 0015-2014(CNCA/CTS 0021-2008A)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食品安全管理体系  食用酒精生产企业要求》、《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GB 12695-2016 食品安全国家标准 饮料生产卫生规范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eastAsia="zh-CN"/>
              </w:rPr>
              <w:t>GB 14881-2013 食品安全国家标准 食品生产通用卫生规范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》、《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GB7101-2015《食品安全国家标准 饮料》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 xml:space="preserve">GB 2715-2016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 xml:space="preserve">食品安全国家标准 粮食》、《GB 2757-2012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食品安全国家标准 蒸馏酒及其配制酒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2763-2021 食品安全国家标准 食品中农药最大残留限量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2762-2022 食品安全国家标准 食品中污染物限量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中华人民共和国食品安全法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需要型式检验：的有谷物碾磨加工品（大米粉）、果蔬固体饮料/其他固体饮料（决明子粉）：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大米粉按照企业标准：Q/HHF0002s-2019 执行，每半年1次型式检验，检验项目包括：菌落总数、大肠菌群、霉菌、致病菌真菌毒素限量、总砷、农残等指标；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五红水（风味饮料）按照企业标准Q/HHF0011S-2020标准执行，每半年1次型式检验，检验项目包括：感官、菌落总数、大肠菌群、霉菌、等指标；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配制酒按照企业标准Q/HHF 0015S-2020标准执行，每半年1次型式检验，检验项目包括：感官、酒精度、甲醇、氰化物、真菌毒素限量等；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果蔬固体饮料/其他固体饮料（决明子粉）按照企业标准Q/HHF 0001S-2019标准执行，每半年1次型式检验，检验项目包括：感官、铅、农残最大限量、菌落总数、微生物、真菌毒素限量等；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咖啡类饮料按照GB/T30767标准执行，每年1次型式检验，检验项目包括：咖啡因、菌落总数等指标；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66CC7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2022-11-21T08:46:00Z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