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464" w:firstLineChars="3110"/>
        <w:rPr>
          <w:b/>
          <w:bCs/>
          <w:color w:val="000000" w:themeColor="text1"/>
          <w:sz w:val="21"/>
          <w:szCs w:val="21"/>
          <w:u w:val="single"/>
        </w:rPr>
      </w:pPr>
      <w:bookmarkStart w:id="22" w:name="_GoBack"/>
      <w:r>
        <w:rPr>
          <w:rFonts w:hint="eastAsia" w:eastAsia="宋体"/>
          <w:szCs w:val="24"/>
          <w:lang w:eastAsia="zh-CN"/>
        </w:rPr>
        <w:drawing>
          <wp:anchor distT="0" distB="0" distL="114300" distR="114300" simplePos="0" relativeHeight="251661312" behindDoc="0" locked="0" layoutInCell="1" allowOverlap="1">
            <wp:simplePos x="0" y="0"/>
            <wp:positionH relativeFrom="column">
              <wp:posOffset>-891540</wp:posOffset>
            </wp:positionH>
            <wp:positionV relativeFrom="paragraph">
              <wp:posOffset>-944245</wp:posOffset>
            </wp:positionV>
            <wp:extent cx="7746365" cy="10746105"/>
            <wp:effectExtent l="0" t="0" r="6985" b="17145"/>
            <wp:wrapNone/>
            <wp:docPr id="2" name="图片 2"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4"/>
                    <pic:cNvPicPr>
                      <a:picLocks noChangeAspect="1"/>
                    </pic:cNvPicPr>
                  </pic:nvPicPr>
                  <pic:blipFill>
                    <a:blip r:embed="rId5"/>
                    <a:stretch>
                      <a:fillRect/>
                    </a:stretch>
                  </pic:blipFill>
                  <pic:spPr>
                    <a:xfrm>
                      <a:off x="0" y="0"/>
                      <a:ext cx="7746365" cy="10746105"/>
                    </a:xfrm>
                    <a:prstGeom prst="rect">
                      <a:avLst/>
                    </a:prstGeom>
                  </pic:spPr>
                </pic:pic>
              </a:graphicData>
            </a:graphic>
          </wp:anchor>
        </w:drawing>
      </w:r>
      <w:bookmarkEnd w:id="22"/>
      <w:r>
        <w:rPr>
          <w:rFonts w:hint="eastAsia"/>
          <w:b/>
          <w:color w:val="000000" w:themeColor="text1"/>
          <w:sz w:val="21"/>
          <w:szCs w:val="21"/>
        </w:rPr>
        <w:t>合同编号:</w:t>
      </w:r>
      <w:bookmarkStart w:id="0" w:name="合同编号"/>
      <w:r>
        <w:rPr>
          <w:b/>
          <w:bCs/>
          <w:color w:val="000000" w:themeColor="text1"/>
          <w:sz w:val="21"/>
          <w:szCs w:val="21"/>
          <w:u w:val="single"/>
        </w:rPr>
        <w:t>1180-2022-QEO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485"/>
        <w:gridCol w:w="155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58"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南昌固特家具制造有限责任公司</w:t>
            </w:r>
            <w:bookmarkEnd w:id="1"/>
          </w:p>
        </w:tc>
        <w:tc>
          <w:tcPr>
            <w:tcW w:w="155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58" w:type="dxa"/>
            <w:gridSpan w:val="2"/>
          </w:tcPr>
          <w:p>
            <w:pPr>
              <w:snapToGrid w:val="0"/>
              <w:spacing w:line="0" w:lineRule="atLeast"/>
              <w:jc w:val="center"/>
              <w:rPr>
                <w:sz w:val="22"/>
                <w:szCs w:val="22"/>
              </w:rPr>
            </w:pPr>
          </w:p>
        </w:tc>
        <w:tc>
          <w:tcPr>
            <w:tcW w:w="155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58" w:type="dxa"/>
            <w:gridSpan w:val="2"/>
          </w:tcPr>
          <w:p>
            <w:pPr>
              <w:snapToGrid w:val="0"/>
              <w:spacing w:line="0" w:lineRule="atLeast"/>
              <w:jc w:val="center"/>
              <w:rPr>
                <w:sz w:val="22"/>
                <w:szCs w:val="22"/>
              </w:rPr>
            </w:pPr>
            <w:bookmarkStart w:id="4" w:name="机构代码"/>
            <w:r>
              <w:rPr>
                <w:sz w:val="22"/>
                <w:szCs w:val="22"/>
              </w:rPr>
              <w:t>91360108563845410G</w:t>
            </w:r>
            <w:bookmarkEnd w:id="4"/>
          </w:p>
        </w:tc>
        <w:tc>
          <w:tcPr>
            <w:tcW w:w="155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58"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(不适用：8.3条款)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55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Q:40,E:40,O:40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南昌固特家具制造有限责任公司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Q：钢制办公家具、医用家具（护士站、导诊台、治疗柜、处置柜）的生产及销售，病房门、钢制门、</w:t>
            </w:r>
            <w:r>
              <w:rPr>
                <w:rFonts w:hint="eastAsia"/>
                <w:sz w:val="22"/>
                <w:szCs w:val="22"/>
              </w:rPr>
              <w:t>监狱电动门、</w:t>
            </w:r>
            <w:r>
              <w:rPr>
                <w:sz w:val="22"/>
                <w:szCs w:val="22"/>
              </w:rPr>
              <w:t>学生床的销售</w:t>
            </w:r>
          </w:p>
          <w:p>
            <w:pPr>
              <w:snapToGrid w:val="0"/>
              <w:spacing w:line="0" w:lineRule="atLeast"/>
              <w:jc w:val="left"/>
              <w:rPr>
                <w:sz w:val="22"/>
                <w:szCs w:val="22"/>
              </w:rPr>
            </w:pPr>
            <w:r>
              <w:rPr>
                <w:sz w:val="22"/>
                <w:szCs w:val="22"/>
              </w:rPr>
              <w:t>E：钢制办公家具、医用家具（护士站、导诊台、治疗柜、处置柜）的生产及销售，病房门、钢制门、</w:t>
            </w:r>
            <w:r>
              <w:rPr>
                <w:rFonts w:hint="eastAsia"/>
                <w:sz w:val="22"/>
                <w:szCs w:val="22"/>
              </w:rPr>
              <w:t>监狱电动门、</w:t>
            </w:r>
            <w:r>
              <w:rPr>
                <w:sz w:val="22"/>
                <w:szCs w:val="22"/>
              </w:rPr>
              <w:t>学生床的销售所涉及场所的相关环境管理活动</w:t>
            </w:r>
          </w:p>
          <w:p>
            <w:pPr>
              <w:snapToGrid w:val="0"/>
              <w:spacing w:line="0" w:lineRule="atLeast"/>
              <w:jc w:val="left"/>
              <w:rPr>
                <w:sz w:val="22"/>
                <w:szCs w:val="22"/>
              </w:rPr>
            </w:pPr>
            <w:r>
              <w:rPr>
                <w:sz w:val="22"/>
                <w:szCs w:val="22"/>
              </w:rPr>
              <w:t>O：钢制办公家具、医用家具（护士站、导诊台、治疗柜、处置柜）的生产及销售，病房门、钢制门、</w:t>
            </w:r>
            <w:r>
              <w:rPr>
                <w:rFonts w:hint="eastAsia"/>
                <w:sz w:val="22"/>
                <w:szCs w:val="22"/>
              </w:rPr>
              <w:t>监狱电动门、</w:t>
            </w:r>
            <w:r>
              <w:rPr>
                <w:sz w:val="22"/>
                <w:szCs w:val="22"/>
              </w:rPr>
              <w:t>学生床的销售所涉及场所的相关职业健康安全管理活动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江西省南昌市经济技术开发区高椅山二路558号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江西省南昌市经济技术开发区高椅山二路558号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58"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5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b/>
                <w:kern w:val="0"/>
              </w:rPr>
              <w:drawing>
                <wp:anchor distT="0" distB="0" distL="114300" distR="114300" simplePos="0" relativeHeight="251660288" behindDoc="0" locked="0" layoutInCell="1" allowOverlap="1">
                  <wp:simplePos x="0" y="0"/>
                  <wp:positionH relativeFrom="column">
                    <wp:posOffset>117475</wp:posOffset>
                  </wp:positionH>
                  <wp:positionV relativeFrom="paragraph">
                    <wp:posOffset>74930</wp:posOffset>
                  </wp:positionV>
                  <wp:extent cx="894715" cy="539115"/>
                  <wp:effectExtent l="0" t="0" r="635" b="1333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4715" cy="539115"/>
                          </a:xfrm>
                          <a:prstGeom prst="rect">
                            <a:avLst/>
                          </a:prstGeom>
                          <a:noFill/>
                          <a:ln>
                            <a:noFill/>
                          </a:ln>
                        </pic:spPr>
                      </pic:pic>
                    </a:graphicData>
                  </a:graphic>
                </wp:anchor>
              </w:drawing>
            </w:r>
          </w:p>
        </w:tc>
      </w:tr>
    </w:tbl>
    <w:p>
      <w:pPr>
        <w:snapToGrid w:val="0"/>
        <w:spacing w:line="0" w:lineRule="atLeast"/>
        <w:jc w:val="center"/>
        <w:rPr>
          <w:rFonts w:hint="eastAsia" w:eastAsia="宋体"/>
          <w:szCs w:val="24"/>
          <w:lang w:eastAsia="zh-CN"/>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5E65BE"/>
    <w:rsid w:val="001944D6"/>
    <w:rsid w:val="00465A26"/>
    <w:rsid w:val="005E65BE"/>
    <w:rsid w:val="008766DF"/>
    <w:rsid w:val="0090692D"/>
    <w:rsid w:val="00AB211B"/>
    <w:rsid w:val="00D86E34"/>
    <w:rsid w:val="418F4539"/>
    <w:rsid w:val="552314A4"/>
    <w:rsid w:val="75FE3A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810</Words>
  <Characters>1041</Characters>
  <Lines>10</Lines>
  <Paragraphs>2</Paragraphs>
  <TotalTime>24</TotalTime>
  <ScaleCrop>false</ScaleCrop>
  <LinksUpToDate>false</LinksUpToDate>
  <CharactersWithSpaces>1096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2022-11-17T06:42:41Z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