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江西星特消防设备有限公司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6" w:name="_GoBack"/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江西省宜春市樟树市金属产业创业园区经开西五路</w:t>
            </w:r>
            <w:bookmarkEnd w:id="36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江西省宜春市樟树市金属产业创业园区经开西五路（生产地址）；江西省樟树市四特大道268号蓝波湾（办公地址）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杨晓平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13879506538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407172426@qq.com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1252-2021-QEO-2022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Q：消防设备（悬挂式七氟丙烷灭火装置、柜式七氟丙烷灭火装置、七氟丙烷灭火设备）的生产及消防器材、钢艺制品架（密集架、书架、货架）、钢制办公家具的销售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E：消防设备（悬挂式七氟丙烷灭火装置、柜式七氟丙烷灭火装置、七氟丙烷灭火设备）的生产及消防器材、钢艺制品架（密集架、书架、货架）、钢制办公家具的销售所涉及场所的相关环境管理活动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O：消防设备（悬挂式七氟丙烷灭火装置、柜式七氟丙烷灭火装置、七氟丙烷灭火设备）的生产及消防器材、钢艺制品架（密集架、书架、货架）、钢制办公家具的销售所涉及场所的相关职业健康安全管理活动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Q：18.02.06;29.12.00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E：18.02.06;29.12.00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O：18.02.06;29.12.00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2022年11月15日 上午至2022年11月16日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Q:18.02.06,29.12.00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E:18.02.06,29.12.00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O:18.02.06,29.12.00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宋体" w:hAnsi="宋体" w:cs="Arial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22.11.15</w:t>
            </w:r>
          </w:p>
          <w:p>
            <w:pPr>
              <w:spacing w:line="240" w:lineRule="exact"/>
              <w:rPr>
                <w:rFonts w:hint="default" w:ascii="宋体" w:hAnsi="宋体" w:cs="Aria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cs="Arial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9：00-12：30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12：30-13：00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（午餐）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9.3管理评审、10.1改进、10.3持续改进，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cs="Arial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13：00-17：00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ascii="宋体" w:hAnsi="宋体" w:cs="Arial"/>
                <w:sz w:val="21"/>
                <w:szCs w:val="21"/>
                <w:u w:val="none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质量目标、8.1运行策划和控制、9.2 内部审核、</w:t>
            </w:r>
            <w:r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内部审核、10.2不符合/事件和纠正措施，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ascii="宋体" w:hAnsi="宋体" w:cs="Arial"/>
                <w:sz w:val="21"/>
                <w:szCs w:val="21"/>
                <w:u w:val="none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环境目标、6.1.3合规义务、6.1.4措施的策划、9.1监视、测量、分析和评价（9.1.1总则、9.1.2合规性评价）、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应急准备和响应，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不合格和纠正措施，EMS运行控制相关财务支出证据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5.3组织的岗位、职责和权限、6.1.2危险源的辨识与评价、6.1.3合规义务、6.1.4措施的策划、6.2.1职业健康安全目标、6.2.2实现职业健康安全目标措施的策划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内部审核、，9.1监视、测量、分析和评价（9.1.1总则、9.1.2合规性评价）、8.1运行策划和控制、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2.11.16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/>
              </w:rPr>
            </w:pPr>
          </w:p>
          <w:p>
            <w:pPr>
              <w:pStyle w:val="2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（午餐1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生产和服务提供的更改控制，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/OHSMS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环境/职业健康安全目标、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eastAsia" w:ascii="宋体" w:hAnsi="宋体" w:cs="Arial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  <w:u w:val="none"/>
              </w:rPr>
            </w:pPr>
            <w:r>
              <w:rPr>
                <w:rFonts w:ascii="宋体" w:hAnsi="宋体" w:cs="Arial"/>
                <w:sz w:val="21"/>
                <w:szCs w:val="21"/>
                <w:u w:val="none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产品和服务的要求（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顾客沟通、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与产品和服务有关要求的确认、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与产品有关要求评审、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8.2.4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与产品有关要求的更改）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外部提供过程、产品和服务的控制（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总则、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控制类型和程度、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提供给外部供方的信息）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8.5.1销售的控制、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交付后的活动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ascii="宋体" w:hAnsi="宋体" w:cs="Arial"/>
                <w:sz w:val="21"/>
                <w:szCs w:val="21"/>
                <w:u w:val="none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应急准备和响应，</w:t>
            </w:r>
          </w:p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color w:val="auto"/>
                <w:sz w:val="18"/>
                <w:szCs w:val="18"/>
              </w:rPr>
            </w:pPr>
            <w:r>
              <w:rPr>
                <w:rFonts w:ascii="宋体" w:hAnsi="宋体" w:cs="Arial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5246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3080</Words>
  <Characters>5062</Characters>
  <Lines>37</Lines>
  <Paragraphs>10</Paragraphs>
  <TotalTime>16</TotalTime>
  <ScaleCrop>false</ScaleCrop>
  <LinksUpToDate>false</LinksUpToDate>
  <CharactersWithSpaces>5340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2022-11-14T15:30:57Z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