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任丘市神华标牌有限公司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17.12.05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17.12.05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金属标识标牌（交通标牌、指路牌、路名牌、水域标牌、公交候车亭牌）的生产工艺：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客户接触--合同评审--签订合同--填立项单--生产部排产--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不干胶纸印刷或写真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贴膜、铝板加工——喷漆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烘烤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--裁剪--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打孔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关键过程：贴膜  需要确认的过程：喷漆。主要控制参数：平整度、速度、调色等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产品质量法、</w:t>
            </w:r>
            <w:bookmarkStart w:id="3" w:name="_GoBack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城市公共交通标志 第3部分：公共汽电车站牌和路牌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GB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T5845.3-2008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标牌铆钉GB 827-1986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GB/T13306-2011《标牌》</w:t>
            </w:r>
            <w:bookmarkEnd w:id="3"/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外观、尺寸、色彩等，不需型式检验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146685</wp:posOffset>
                  </wp:positionV>
                  <wp:extent cx="778510" cy="317500"/>
                  <wp:effectExtent l="0" t="0" r="8890" b="0"/>
                  <wp:wrapNone/>
                  <wp:docPr id="6" name="图片 6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95885</wp:posOffset>
                  </wp:positionV>
                  <wp:extent cx="778510" cy="317500"/>
                  <wp:effectExtent l="0" t="0" r="8890" b="0"/>
                  <wp:wrapNone/>
                  <wp:docPr id="7" name="图片 7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任丘市神华标牌有限公司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金属标识标牌（交通标牌、指路牌、路名牌、水域标牌、公交候车亭牌）的生产工艺：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客户接触--合同评审--签订合同--填立项单--生产部排产--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不干胶纸印刷或写真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贴膜、铝板加工——喷漆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烘烤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--裁剪--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打孔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工业企业厂界环境噪声排放标准GB12348-2008、</w:t>
            </w:r>
            <w:r>
              <w:rPr>
                <w:rFonts w:hint="eastAsia"/>
                <w:sz w:val="21"/>
                <w:szCs w:val="21"/>
                <w:u w:val="none"/>
              </w:rPr>
              <w:t>GB18599-20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  <w:u w:val="none"/>
              </w:rPr>
              <w:t>《一般工业固体废物贮存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和填埋</w:t>
            </w:r>
            <w:r>
              <w:rPr>
                <w:rFonts w:hint="eastAsia"/>
                <w:sz w:val="21"/>
                <w:szCs w:val="21"/>
                <w:u w:val="none"/>
              </w:rPr>
              <w:t>污染控制标准》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DB13/2322-2016工业企业挥发性有机物排放控制标准、污水综合排放标准GB8978-1996等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59690</wp:posOffset>
                  </wp:positionV>
                  <wp:extent cx="778510" cy="317500"/>
                  <wp:effectExtent l="0" t="0" r="8890" b="0"/>
                  <wp:wrapNone/>
                  <wp:docPr id="4" name="图片 4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53340</wp:posOffset>
                  </wp:positionV>
                  <wp:extent cx="778510" cy="317500"/>
                  <wp:effectExtent l="0" t="0" r="8890" b="0"/>
                  <wp:wrapNone/>
                  <wp:docPr id="5" name="图片 5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任丘市神华标牌有限公司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金属标识标牌（交通标牌、指路牌、路名牌、水域标牌、公交候车亭牌）的生产工艺：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客户接触--合同评审--签订合同--填立项单--生产部排产--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不干胶纸印刷或写真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贴膜、铝板加工——喷漆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烘烤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--裁剪--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打孔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噪声伤害、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167640</wp:posOffset>
                  </wp:positionV>
                  <wp:extent cx="778510" cy="317500"/>
                  <wp:effectExtent l="0" t="0" r="8890" b="0"/>
                  <wp:wrapNone/>
                  <wp:docPr id="3" name="图片 3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53340</wp:posOffset>
                  </wp:positionV>
                  <wp:extent cx="778510" cy="317500"/>
                  <wp:effectExtent l="0" t="0" r="8890" b="0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7FB4314"/>
    <w:rsid w:val="1CE14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1128</Words>
  <Characters>1333</Characters>
  <Lines>2</Lines>
  <Paragraphs>1</Paragraphs>
  <TotalTime>0</TotalTime>
  <ScaleCrop>false</ScaleCrop>
  <LinksUpToDate>false</LinksUpToDate>
  <CharactersWithSpaces>1340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2022-11-15T03:26:26Z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