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四川华恒正合石化科技有限公司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四川华恒正合石化科技有限公司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绵阳市高新区绵兴东路133号大学生创业园A214</w:t>
            </w:r>
            <w:bookmarkEnd w:id="6"/>
          </w:p>
        </w:tc>
        <w:tc>
          <w:tcPr>
            <w:tcW w:w="1242" w:type="dxa"/>
            <w:vMerge w:val="restart"/>
            <w:vAlign w:val="center"/>
          </w:tcPr>
          <w:p>
            <w:r>
              <w:rPr>
                <w:rFonts w:hint="eastAsia"/>
              </w:rPr>
              <w:t>邮编</w:t>
            </w:r>
          </w:p>
        </w:tc>
        <w:tc>
          <w:tcPr>
            <w:tcW w:w="1771" w:type="dxa"/>
          </w:tcPr>
          <w:p>
            <w:bookmarkStart w:id="7" w:name="注册邮编"/>
            <w:r>
              <w:t>621000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绵阳市高新区绵兴东路133号大学生创业园A214</w:t>
            </w:r>
            <w:bookmarkEnd w:id="8"/>
          </w:p>
        </w:tc>
        <w:tc>
          <w:tcPr>
            <w:tcW w:w="1242" w:type="dxa"/>
            <w:vMerge w:val="continue"/>
            <w:vAlign w:val="center"/>
          </w:tcPr>
          <w:p/>
        </w:tc>
        <w:tc>
          <w:tcPr>
            <w:tcW w:w="1771" w:type="dxa"/>
          </w:tcPr>
          <w:p>
            <w:bookmarkStart w:id="9" w:name="办公邮编"/>
            <w: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陈瀚</w:t>
            </w:r>
            <w:bookmarkEnd w:id="10"/>
          </w:p>
        </w:tc>
        <w:tc>
          <w:tcPr>
            <w:tcW w:w="1313" w:type="dxa"/>
            <w:vAlign w:val="center"/>
          </w:tcPr>
          <w:p>
            <w:r>
              <w:rPr>
                <w:rFonts w:hint="eastAsia"/>
              </w:rPr>
              <w:t>电话.</w:t>
            </w:r>
          </w:p>
        </w:tc>
        <w:tc>
          <w:tcPr>
            <w:tcW w:w="2180" w:type="dxa"/>
            <w:vAlign w:val="center"/>
          </w:tcPr>
          <w:p>
            <w:bookmarkStart w:id="11" w:name="联系人电话"/>
            <w:r>
              <w:t>17736818688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陈瀚</w:t>
            </w:r>
            <w:bookmarkEnd w:id="13"/>
          </w:p>
        </w:tc>
        <w:tc>
          <w:tcPr>
            <w:tcW w:w="1313" w:type="dxa"/>
            <w:vAlign w:val="center"/>
          </w:tcPr>
          <w:p>
            <w:r>
              <w:rPr>
                <w:rFonts w:hint="eastAsia"/>
              </w:rPr>
              <w:t>管理者代表</w:t>
            </w:r>
          </w:p>
        </w:tc>
        <w:tc>
          <w:tcPr>
            <w:tcW w:w="2180" w:type="dxa"/>
          </w:tcPr>
          <w:p>
            <w:bookmarkStart w:id="14" w:name="管理者代表"/>
            <w:r>
              <w:t>代戈</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sz w:val="21"/>
                <w:szCs w:val="21"/>
                <w:highlight w:val="none"/>
                <w:lang w:val="en-US" w:eastAsia="zh-CN"/>
              </w:rPr>
              <w:t>市场调研-客户、相关需求-订单（要求）评审-服务过程运行控制-服务提供控制。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2022年11月14日 下午至2022年11月15日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绵阳市高新区绵兴东路133号大学生创业园A214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Q：钻井废弃物无害化处理及资源处理（岩屑稳定化处理）的技术服务。</w:t>
            </w:r>
          </w:p>
          <w:p>
            <w:r>
              <w:t>E：钻井废弃物无害化处理及资源处理（岩屑稳定化处理）的技术服务所涉及的相关环境管理活动。</w:t>
            </w:r>
          </w:p>
          <w:p>
            <w:r>
              <w:t>O：钻井废弃物无害化处理及资源处理（岩屑稳定化处理）的技术服务所涉及的相关职业健康安全管理活动。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Q：34.06.00</w:t>
            </w:r>
          </w:p>
          <w:p>
            <w:r>
              <w:t>E：34.06.00</w:t>
            </w:r>
          </w:p>
          <w:p>
            <w:r>
              <w:t>O：34.06.00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asciiTheme="minorEastAsia" w:hAnsiTheme="minorEastAsia" w:eastAsiaTheme="minorEastAsia"/>
                <w:sz w:val="20"/>
              </w:rPr>
              <w:t>绵阳市高新区绵兴东路133号大学生创业园A214</w:t>
            </w:r>
          </w:p>
        </w:tc>
        <w:tc>
          <w:tcPr>
            <w:tcW w:w="2267" w:type="dxa"/>
            <w:vAlign w:val="top"/>
          </w:tcPr>
          <w:p>
            <w:pPr>
              <w:rPr>
                <w:rFonts w:hint="eastAsia" w:eastAsiaTheme="minorEastAsia"/>
                <w:lang w:val="de-DE" w:eastAsia="zh-CN"/>
              </w:rPr>
            </w:pPr>
            <w:r>
              <w:rPr>
                <w:rFonts w:asciiTheme="minorEastAsia" w:hAnsiTheme="minorEastAsia" w:eastAsiaTheme="minorEastAsia"/>
                <w:sz w:val="20"/>
              </w:rPr>
              <w:t>绵阳市高新区绵兴东路133号大学生创业园A214</w:t>
            </w:r>
            <w:r>
              <w:rPr>
                <w:rFonts w:hint="eastAsia" w:asciiTheme="minorEastAsia" w:hAnsiTheme="minorEastAsia" w:eastAsiaTheme="minorEastAsia"/>
                <w:sz w:val="20"/>
                <w:lang w:eastAsia="zh-CN"/>
              </w:rPr>
              <w:t>（</w:t>
            </w:r>
            <w:r>
              <w:rPr>
                <w:rFonts w:hint="eastAsia"/>
                <w:color w:val="000000"/>
                <w:highlight w:val="none"/>
              </w:rPr>
              <w:t>重庆市垫江县澄溪镇大雷村5组</w:t>
            </w:r>
            <w:r>
              <w:rPr>
                <w:rFonts w:hint="eastAsia" w:asciiTheme="minorEastAsia" w:hAnsiTheme="minorEastAsia" w:eastAsiaTheme="minorEastAsia"/>
                <w:sz w:val="20"/>
                <w:lang w:eastAsia="zh-CN"/>
              </w:rPr>
              <w:t>）</w:t>
            </w:r>
          </w:p>
        </w:tc>
        <w:tc>
          <w:tcPr>
            <w:tcW w:w="571" w:type="dxa"/>
            <w:vAlign w:val="center"/>
          </w:tcPr>
          <w:p>
            <w:pPr>
              <w:rPr>
                <w:lang w:eastAsia="ja-JP"/>
              </w:rPr>
            </w:pPr>
            <w:r>
              <w:rPr>
                <w:rFonts w:hint="eastAsia"/>
                <w:lang w:val="en-US" w:eastAsia="zh-CN"/>
              </w:rPr>
              <w:t>13</w:t>
            </w:r>
          </w:p>
        </w:tc>
        <w:tc>
          <w:tcPr>
            <w:tcW w:w="2803" w:type="dxa"/>
            <w:vAlign w:val="center"/>
          </w:tcPr>
          <w:p>
            <w:pPr>
              <w:rPr>
                <w:lang w:eastAsia="ja-JP"/>
              </w:rPr>
            </w:pPr>
            <w:r>
              <w:rPr>
                <w:sz w:val="20"/>
              </w:rPr>
              <w:t>Q：钻井废弃物无害化处理及资源处理（岩屑稳定化处理）的技术服务</w:t>
            </w:r>
          </w:p>
        </w:tc>
        <w:tc>
          <w:tcPr>
            <w:tcW w:w="669" w:type="dxa"/>
            <w:vAlign w:val="center"/>
          </w:tcPr>
          <w:p>
            <w:pPr>
              <w:rPr>
                <w:lang w:eastAsia="ja-JP"/>
              </w:rPr>
            </w:pPr>
            <w:r>
              <w:rPr>
                <w:rFonts w:hint="eastAsia"/>
                <w:lang w:val="de-DE"/>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绵阳市高新区绵兴东路133号大学生创业园A214</w:t>
            </w:r>
          </w:p>
        </w:tc>
        <w:tc>
          <w:tcPr>
            <w:tcW w:w="2267" w:type="dxa"/>
            <w:vAlign w:val="center"/>
          </w:tcPr>
          <w:p>
            <w:pPr>
              <w:rPr>
                <w:lang w:eastAsia="ja-JP"/>
              </w:rPr>
            </w:pPr>
            <w:r>
              <w:rPr>
                <w:rFonts w:asciiTheme="minorEastAsia" w:hAnsiTheme="minorEastAsia" w:eastAsiaTheme="minorEastAsia"/>
                <w:sz w:val="20"/>
              </w:rPr>
              <w:t>绵阳市高新区绵兴东路133号大学生创业园A214</w:t>
            </w:r>
            <w:r>
              <w:rPr>
                <w:rFonts w:hint="eastAsia" w:asciiTheme="minorEastAsia" w:hAnsiTheme="minorEastAsia" w:eastAsiaTheme="minorEastAsia"/>
                <w:sz w:val="20"/>
                <w:lang w:eastAsia="zh-CN"/>
              </w:rPr>
              <w:t>（</w:t>
            </w:r>
            <w:r>
              <w:rPr>
                <w:rFonts w:hint="eastAsia"/>
                <w:color w:val="000000"/>
                <w:highlight w:val="none"/>
              </w:rPr>
              <w:t>重庆市垫江县澄溪镇大雷村5组</w:t>
            </w:r>
            <w:r>
              <w:rPr>
                <w:rFonts w:hint="eastAsia" w:asciiTheme="minorEastAsia" w:hAnsiTheme="minorEastAsia" w:eastAsiaTheme="minorEastAsia"/>
                <w:sz w:val="20"/>
                <w:lang w:eastAsia="zh-CN"/>
              </w:rPr>
              <w:t>）</w:t>
            </w:r>
          </w:p>
        </w:tc>
        <w:tc>
          <w:tcPr>
            <w:tcW w:w="571" w:type="dxa"/>
            <w:vAlign w:val="center"/>
          </w:tcPr>
          <w:p>
            <w:pPr>
              <w:rPr>
                <w:lang w:eastAsia="ja-JP"/>
              </w:rPr>
            </w:pPr>
            <w:r>
              <w:rPr>
                <w:rFonts w:hint="eastAsia"/>
                <w:lang w:val="en-US" w:eastAsia="zh-CN"/>
              </w:rPr>
              <w:t>13</w:t>
            </w:r>
          </w:p>
        </w:tc>
        <w:tc>
          <w:tcPr>
            <w:tcW w:w="2803" w:type="dxa"/>
            <w:vAlign w:val="center"/>
          </w:tcPr>
          <w:p>
            <w:pPr>
              <w:rPr>
                <w:lang w:eastAsia="ja-JP"/>
              </w:rPr>
            </w:pPr>
            <w:r>
              <w:rPr>
                <w:sz w:val="20"/>
              </w:rPr>
              <w:t>E：钻井废弃物无害化处理及资源处理（岩屑稳定化处理）的技术服务所涉及的相关环境管理活动</w:t>
            </w:r>
          </w:p>
        </w:tc>
        <w:tc>
          <w:tcPr>
            <w:tcW w:w="669" w:type="dxa"/>
            <w:vAlign w:val="center"/>
          </w:tcPr>
          <w:p>
            <w:pPr>
              <w:rPr>
                <w:lang w:eastAsia="ja-JP"/>
              </w:rPr>
            </w:pPr>
            <w:r>
              <w:rPr>
                <w:rFonts w:hint="eastAsia"/>
                <w:lang w:val="de-DE"/>
              </w:rPr>
              <w:t>GB/T24001-2016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绵阳市高新区绵兴东路133号大学生创业园A214</w:t>
            </w:r>
          </w:p>
        </w:tc>
        <w:tc>
          <w:tcPr>
            <w:tcW w:w="2267" w:type="dxa"/>
            <w:vAlign w:val="center"/>
          </w:tcPr>
          <w:p>
            <w:pPr>
              <w:rPr>
                <w:lang w:eastAsia="ja-JP"/>
              </w:rPr>
            </w:pPr>
            <w:r>
              <w:rPr>
                <w:rFonts w:asciiTheme="minorEastAsia" w:hAnsiTheme="minorEastAsia" w:eastAsiaTheme="minorEastAsia"/>
                <w:sz w:val="20"/>
              </w:rPr>
              <w:t>绵阳市高新区绵兴东路133号大学生创业园A214</w:t>
            </w:r>
            <w:r>
              <w:rPr>
                <w:rFonts w:hint="eastAsia" w:asciiTheme="minorEastAsia" w:hAnsiTheme="minorEastAsia" w:eastAsiaTheme="minorEastAsia"/>
                <w:sz w:val="20"/>
                <w:lang w:eastAsia="zh-CN"/>
              </w:rPr>
              <w:t>（</w:t>
            </w:r>
            <w:r>
              <w:rPr>
                <w:rFonts w:hint="eastAsia"/>
                <w:color w:val="000000"/>
                <w:highlight w:val="none"/>
              </w:rPr>
              <w:t>重庆市垫江县澄溪镇大雷村5组</w:t>
            </w:r>
            <w:r>
              <w:rPr>
                <w:rFonts w:hint="eastAsia" w:asciiTheme="minorEastAsia" w:hAnsiTheme="minorEastAsia" w:eastAsiaTheme="minorEastAsia"/>
                <w:sz w:val="20"/>
                <w:lang w:eastAsia="zh-CN"/>
              </w:rPr>
              <w:t>）</w:t>
            </w:r>
          </w:p>
        </w:tc>
        <w:tc>
          <w:tcPr>
            <w:tcW w:w="571" w:type="dxa"/>
            <w:vAlign w:val="center"/>
          </w:tcPr>
          <w:p>
            <w:pPr>
              <w:rPr>
                <w:lang w:eastAsia="ja-JP"/>
              </w:rPr>
            </w:pPr>
            <w:r>
              <w:rPr>
                <w:rFonts w:hint="eastAsia"/>
                <w:lang w:val="en-US" w:eastAsia="zh-CN"/>
              </w:rPr>
              <w:t>13</w:t>
            </w:r>
          </w:p>
        </w:tc>
        <w:tc>
          <w:tcPr>
            <w:tcW w:w="2803" w:type="dxa"/>
            <w:vAlign w:val="center"/>
          </w:tcPr>
          <w:p>
            <w:pPr>
              <w:rPr>
                <w:lang w:eastAsia="ja-JP"/>
              </w:rPr>
            </w:pPr>
            <w:r>
              <w:rPr>
                <w:sz w:val="20"/>
              </w:rPr>
              <w:t>O：钻井废弃物无害化处理及资源处理（岩屑稳定化处理）的技术服务所涉及的相关职业健康安全管理活动</w:t>
            </w:r>
          </w:p>
        </w:tc>
        <w:tc>
          <w:tcPr>
            <w:tcW w:w="669" w:type="dxa"/>
            <w:vAlign w:val="center"/>
          </w:tcPr>
          <w:p>
            <w:pPr>
              <w:rPr>
                <w:lang w:eastAsia="ja-JP"/>
              </w:rPr>
            </w:pPr>
            <w:r>
              <w:rPr>
                <w:rFonts w:hint="eastAsia"/>
              </w:rPr>
              <w:t>GB/T 45001-2020</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r>
              <w:t>Q:34.06.00</w:t>
            </w:r>
          </w:p>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对上次不符合</w:t>
            </w:r>
            <w:r>
              <w:rPr>
                <w:rFonts w:hint="eastAsia" w:ascii="方正仿宋简体" w:hAnsi="Times New Roman" w:eastAsia="方正仿宋简体" w:cs="Times New Roman"/>
                <w:b/>
                <w:lang w:val="en-US" w:eastAsia="zh-CN"/>
              </w:rPr>
              <w:t>“</w:t>
            </w:r>
            <w:r>
              <w:rPr>
                <w:rFonts w:hint="eastAsia" w:ascii="方正仿宋简体" w:hAnsi="Times New Roman" w:eastAsia="方正仿宋简体" w:cs="Times New Roman"/>
                <w:b/>
              </w:rPr>
              <w:t>公司特殊过程确定为：</w:t>
            </w:r>
            <w:r>
              <w:rPr>
                <w:rFonts w:hint="eastAsia" w:ascii="方正仿宋简体" w:hAnsi="Times New Roman" w:eastAsia="方正仿宋简体" w:cs="Times New Roman"/>
                <w:b/>
                <w:lang w:val="en-US" w:eastAsia="zh-CN"/>
              </w:rPr>
              <w:t>服务</w:t>
            </w:r>
            <w:r>
              <w:rPr>
                <w:rFonts w:hint="eastAsia" w:ascii="方正仿宋简体" w:hAnsi="Times New Roman" w:eastAsia="方正仿宋简体" w:cs="Times New Roman"/>
                <w:b/>
                <w:lang w:eastAsia="zh-CN"/>
              </w:rPr>
              <w:t>过程，</w:t>
            </w:r>
            <w:r>
              <w:rPr>
                <w:rFonts w:hint="eastAsia" w:ascii="方正仿宋简体" w:hAnsi="Times New Roman" w:eastAsia="方正仿宋简体" w:cs="Times New Roman"/>
                <w:b/>
              </w:rPr>
              <w:t>但现场未能查见对该过程进行确认的相关记录</w:t>
            </w:r>
            <w:r>
              <w:rPr>
                <w:rFonts w:hint="eastAsia" w:ascii="方正仿宋简体" w:hAnsi="Times New Roman" w:eastAsia="方正仿宋简体" w:cs="Times New Roman"/>
                <w:b/>
                <w:lang w:val="en-US" w:eastAsia="zh-CN"/>
              </w:rPr>
              <w:t>”进行验证，不符合措施落实有效，未再有不符合已经关闭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7"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52070</wp:posOffset>
                  </wp:positionH>
                  <wp:positionV relativeFrom="paragraph">
                    <wp:posOffset>139065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2022年11月15日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u w:val="single"/>
                <w:lang w:eastAsia="zh-CN"/>
              </w:rPr>
              <w:t>“</w:t>
            </w:r>
            <w:r>
              <w:rPr>
                <w:rFonts w:hint="eastAsia"/>
                <w:u w:val="single"/>
              </w:rPr>
              <w:t>精益求精 创“华恒正合”新优势</w:t>
            </w:r>
            <w:r>
              <w:rPr>
                <w:rFonts w:hint="eastAsia"/>
                <w:u w:val="single"/>
                <w:lang w:eastAsia="zh-CN"/>
              </w:rPr>
              <w:t>”</w:t>
            </w:r>
            <w:r>
              <w:rPr>
                <w:rFonts w:hint="eastAsia" w:ascii="宋体" w:hAnsi="宋体" w:cs="宋体"/>
                <w:color w:val="000000" w:themeColor="text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宋体" w:hAnsi="宋体" w:cs="新宋体"/>
                <w:sz w:val="21"/>
                <w:szCs w:val="21"/>
              </w:rPr>
              <w:t>生产技术</w:t>
            </w:r>
            <w:r>
              <w:rPr>
                <w:rFonts w:hint="eastAsia" w:ascii="宋体" w:hAnsi="宋体" w:cs="新宋体"/>
                <w:sz w:val="21"/>
                <w:szCs w:val="21"/>
                <w:lang w:val="en-US" w:eastAsia="zh-CN"/>
              </w:rPr>
              <w:t>安全管理</w:t>
            </w:r>
            <w:r>
              <w:rPr>
                <w:rFonts w:hint="eastAsia" w:ascii="宋体" w:hAnsi="宋体" w:cs="新宋体"/>
                <w:sz w:val="21"/>
                <w:szCs w:val="21"/>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交付合格数/交付总数*100%</w:t>
                  </w:r>
                </w:p>
              </w:tc>
              <w:tc>
                <w:tcPr>
                  <w:tcW w:w="1350" w:type="dxa"/>
                  <w:shd w:val="clear" w:color="auto" w:fill="auto"/>
                  <w:vAlign w:val="top"/>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合同按时完成率100%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按时完成数/合同总数*100%</w:t>
                  </w:r>
                </w:p>
              </w:tc>
              <w:tc>
                <w:tcPr>
                  <w:tcW w:w="1350"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顾客满意率≥96分</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w:t>
            </w:r>
            <w:r>
              <w:rPr>
                <w:rFonts w:hint="eastAsia"/>
                <w:lang w:eastAsia="zh-CN"/>
              </w:rPr>
              <w:t>□</w:t>
            </w:r>
            <w:r>
              <w:rPr>
                <w:rFonts w:hint="eastAsia"/>
              </w:rPr>
              <w:t>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140</w:t>
            </w:r>
            <w:r>
              <w:rPr>
                <w:rFonts w:hint="eastAsia"/>
                <w:highlight w:val="none"/>
              </w:rPr>
              <w:t>平方米；生产车间</w:t>
            </w:r>
            <w:r>
              <w:rPr>
                <w:rFonts w:hint="eastAsia"/>
                <w:highlight w:val="none"/>
                <w:lang w:val="en-US" w:eastAsia="zh-CN"/>
              </w:rPr>
              <w:t xml:space="preserve">   </w:t>
            </w:r>
            <w:r>
              <w:rPr>
                <w:rFonts w:hint="eastAsia"/>
                <w:highlight w:val="none"/>
              </w:rPr>
              <w:t>个；库房</w:t>
            </w:r>
            <w:r>
              <w:rPr>
                <w:rFonts w:hint="eastAsia"/>
                <w:highlight w:val="none"/>
                <w:lang w:val="en-US" w:eastAsia="zh-CN"/>
              </w:rPr>
              <w:t xml:space="preserve">  </w:t>
            </w:r>
            <w:r>
              <w:rPr>
                <w:rFonts w:hint="eastAsia"/>
                <w:highlight w:val="none"/>
              </w:rPr>
              <w:t>个；实验室</w:t>
            </w:r>
            <w:r>
              <w:rPr>
                <w:rFonts w:hint="eastAsia"/>
                <w:highlight w:val="none"/>
                <w:lang w:val="en-US" w:eastAsia="zh-CN"/>
              </w:rPr>
              <w:t xml:space="preserve">   </w:t>
            </w:r>
            <w:r>
              <w:rPr>
                <w:rFonts w:hint="eastAsia"/>
                <w:highlight w:val="none"/>
              </w:rPr>
              <w:t>个；</w:t>
            </w:r>
          </w:p>
          <w:p>
            <w:pPr>
              <w:shd w:val="clear" w:color="auto" w:fill="C7DAF1" w:themeFill="text2" w:themeFillTint="32"/>
              <w:rPr>
                <w:u w:val="single"/>
              </w:rPr>
            </w:pPr>
            <w:r>
              <w:rPr>
                <w:rFonts w:hint="eastAsia"/>
              </w:rPr>
              <w:t>主要生产设备有：</w:t>
            </w:r>
            <w:r>
              <w:rPr>
                <w:rFonts w:hint="eastAsia" w:ascii="宋体" w:hAnsi="宋体" w:cs="宋体"/>
                <w:szCs w:val="21"/>
                <w:highlight w:val="none"/>
                <w:lang w:eastAsia="zh-CN"/>
              </w:rPr>
              <w:t>处理罐、潜水泵和电脑及办公设备</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5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i/>
                <w:iCs/>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highlight w:val="none"/>
                <w:lang w:eastAsia="zh-CN"/>
              </w:rPr>
              <w:t>□</w:t>
            </w:r>
            <w:r>
              <w:rPr>
                <w:rFonts w:hint="eastAsia"/>
              </w:rPr>
              <w:t>加工工艺</w:t>
            </w:r>
            <w:r>
              <w:rPr>
                <w:rFonts w:hint="eastAsia" w:ascii="Wingdings" w:hAnsi="Wingdings"/>
                <w:highlight w:val="none"/>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钻井废弃物无害化处理及资源处理（岩屑稳定化处理）的技术服务</w:t>
                  </w:r>
                </w:p>
              </w:tc>
              <w:tc>
                <w:tcPr>
                  <w:tcW w:w="2543" w:type="dxa"/>
                </w:tcPr>
                <w:p>
                  <w:pPr>
                    <w:shd w:val="clear" w:color="auto" w:fill="C7DAF1" w:themeFill="text2" w:themeFillTint="32"/>
                    <w:jc w:val="left"/>
                    <w:rPr>
                      <w:rFonts w:hint="eastAsia" w:eastAsia="宋体"/>
                      <w:lang w:eastAsia="zh-CN"/>
                    </w:rPr>
                  </w:pPr>
                  <w:r>
                    <w:rPr>
                      <w:rFonts w:hint="eastAsia" w:ascii="宋体" w:hAnsi="宋体" w:cs="宋体"/>
                      <w:color w:val="000000"/>
                      <w:sz w:val="21"/>
                      <w:szCs w:val="21"/>
                      <w:u w:val="none"/>
                      <w:lang w:eastAsia="zh-CN"/>
                    </w:rPr>
                    <w:t>服务过程</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eastAsia="宋体" w:cs="宋体"/>
                      <w:color w:val="000000"/>
                      <w:sz w:val="21"/>
                      <w:szCs w:val="21"/>
                      <w:u w:val="none"/>
                      <w:lang w:val="en-US" w:eastAsia="zh-CN"/>
                    </w:rPr>
                    <w:t>含水率、强度、放射性元素分析等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ascii="Times New Roman" w:hAnsi="Times New Roman" w:eastAsia="宋体" w:cs="Times New Roman"/>
                <w:u w:val="single"/>
                <w:lang w:val="en-US" w:eastAsia="zh-CN"/>
              </w:rPr>
            </w:pPr>
            <w:r>
              <w:rPr>
                <w:rFonts w:hint="eastAsia"/>
              </w:rPr>
              <w:t>需要确认的过程：</w:t>
            </w:r>
            <w:r>
              <w:rPr>
                <w:rFonts w:hint="eastAsia" w:ascii="Times New Roman" w:hAnsi="Times New Roman" w:eastAsia="宋体" w:cs="Times New Roman"/>
                <w:u w:val="single"/>
              </w:rPr>
              <w:t>服务过程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2022年10月9日</w:t>
            </w:r>
            <w:r>
              <w:rPr>
                <w:rFonts w:hint="eastAsia"/>
                <w:highlight w:val="none"/>
              </w:rPr>
              <w:t>实施了质量管理体</w:t>
            </w:r>
            <w:r>
              <w:rPr>
                <w:rFonts w:hint="eastAsia"/>
              </w:rPr>
              <w:t>系内部审核，对质量管理体系的符合性和有效性进行了</w:t>
            </w:r>
            <w:r>
              <w:rPr>
                <w:rFonts w:hint="eastAsia"/>
                <w:highlight w:val="none"/>
              </w:rPr>
              <w:t>审核。内审发现的</w:t>
            </w:r>
            <w:r>
              <w:rPr>
                <w:rFonts w:hint="eastAsia"/>
                <w:highlight w:val="none"/>
                <w:u w:val="single"/>
                <w:lang w:val="en-US" w:eastAsia="zh-CN"/>
              </w:rPr>
              <w:t>1</w:t>
            </w:r>
            <w:r>
              <w:rPr>
                <w:rFonts w:hint="eastAsia"/>
                <w:highlight w:val="none"/>
                <w:u w:val="single"/>
              </w:rPr>
              <w:t>项</w:t>
            </w:r>
            <w:r>
              <w:rPr>
                <w:rFonts w:hint="eastAsia"/>
                <w:highlight w:val="none"/>
              </w:rPr>
              <w:t>不符合在本次</w:t>
            </w:r>
            <w:r>
              <w:rPr>
                <w:rFonts w:hint="eastAsia"/>
              </w:rPr>
              <w:t>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2021年10月20日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u w:val="single"/>
              </w:rPr>
            </w:pPr>
            <w:r>
              <w:rPr>
                <w:rFonts w:hint="eastAsia"/>
              </w:rPr>
              <w:t>最高管理者制定了文件化的管理体系方针</w:t>
            </w:r>
            <w:r>
              <w:rPr>
                <w:rFonts w:hint="eastAsia"/>
                <w:u w:val="single"/>
              </w:rPr>
              <w:t>：</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坚持走可持续发展之路，倡导绿色环保思想，遵守法律法规，从产品销售到服务的全过程中，实行污染预防和持续改进</w:t>
            </w:r>
            <w:r>
              <w:rPr>
                <w:rFonts w:hint="eastAsia" w:ascii="Times New Roman" w:hAnsi="Times New Roman" w:eastAsia="宋体" w:cs="Times New Roman"/>
                <w:u w:val="single"/>
                <w:lang w:eastAsia="zh-CN"/>
              </w:rPr>
              <w:t>”</w:t>
            </w:r>
            <w:r>
              <w:rPr>
                <w:rFonts w:hint="eastAsia"/>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rPr>
              <w:t>□能源消耗□资源消耗</w:t>
            </w:r>
            <w:r>
              <w:rPr>
                <w:rFonts w:hint="eastAsia"/>
                <w:highlight w:val="none"/>
                <w:lang w:eastAsia="zh-CN"/>
              </w:rPr>
              <w:t>■</w:t>
            </w:r>
            <w:r>
              <w:rPr>
                <w:rFonts w:hint="eastAsia"/>
                <w:highlight w:val="none"/>
              </w:rPr>
              <w:t>废水排放□废气排放</w:t>
            </w:r>
            <w:r>
              <w:rPr>
                <w:rFonts w:hint="eastAsia"/>
                <w:highlight w:val="none"/>
                <w:lang w:eastAsia="zh-CN"/>
              </w:rPr>
              <w:t>■</w:t>
            </w:r>
            <w:r>
              <w:rPr>
                <w:rFonts w:hint="eastAsia"/>
                <w:highlight w:val="none"/>
              </w:rPr>
              <w:t>粉尘排放□危废排放</w:t>
            </w:r>
            <w:r>
              <w:rPr>
                <w:rFonts w:hint="eastAsia"/>
                <w:highlight w:val="none"/>
                <w:lang w:eastAsia="zh-CN"/>
              </w:rPr>
              <w:t>■</w:t>
            </w:r>
            <w:r>
              <w:rPr>
                <w:rFonts w:hint="eastAsia"/>
                <w:highlight w:val="none"/>
              </w:rPr>
              <w:t>噪声排放□危化品泄露□压力容器爆炸</w:t>
            </w:r>
            <w:r>
              <w:rPr>
                <w:rFonts w:hint="eastAsia"/>
                <w:highlight w:val="none"/>
                <w:lang w:eastAsia="zh-CN"/>
              </w:rPr>
              <w:t>■</w:t>
            </w:r>
            <w:r>
              <w:rPr>
                <w:rFonts w:hint="eastAsia"/>
                <w:highlight w:val="none"/>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highlight w:val="none"/>
              </w:rPr>
            </w:pPr>
            <w:r>
              <w:rPr>
                <w:rFonts w:hint="eastAsia"/>
              </w:rPr>
              <w:t>□</w:t>
            </w:r>
            <w:r>
              <w:rPr>
                <w:rFonts w:hint="eastAsia"/>
                <w:highlight w:val="none"/>
              </w:rPr>
              <w:t>安全生产许可证编号：</w:t>
            </w:r>
          </w:p>
          <w:p>
            <w:pPr>
              <w:shd w:val="clear" w:color="auto" w:fill="EBF1DE" w:themeFill="accent3" w:themeFillTint="32"/>
              <w:rPr>
                <w:rFonts w:hint="eastAsia"/>
                <w:highlight w:val="none"/>
              </w:rPr>
            </w:pPr>
            <w:r>
              <w:rPr>
                <w:rFonts w:hint="eastAsia"/>
                <w:highlight w:val="none"/>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pPr w:leftFromText="180" w:rightFromText="180" w:vertAnchor="text" w:horzAnchor="page" w:tblpX="107"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办公、生活废弃物分类收集处理率100%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火灾发生为0</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环境扰民投诉为0</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建筑面积</w:t>
            </w:r>
            <w:r>
              <w:rPr>
                <w:rFonts w:hint="eastAsia" w:eastAsia="宋体"/>
                <w:highlight w:val="none"/>
                <w:lang w:val="en-US" w:eastAsia="zh-CN"/>
              </w:rPr>
              <w:t xml:space="preserve"> </w:t>
            </w:r>
            <w:r>
              <w:rPr>
                <w:rFonts w:hint="eastAsia"/>
                <w:highlight w:val="none"/>
                <w:lang w:val="en-US" w:eastAsia="zh-CN"/>
              </w:rPr>
              <w:t>140</w:t>
            </w:r>
            <w:r>
              <w:rPr>
                <w:rFonts w:hint="eastAsia" w:eastAsia="宋体"/>
                <w:highlight w:val="none"/>
              </w:rPr>
              <w:t>平方米；生产车间</w:t>
            </w:r>
            <w:r>
              <w:rPr>
                <w:rFonts w:hint="eastAsia"/>
                <w:highlight w:val="none"/>
                <w:lang w:val="en-US" w:eastAsia="zh-CN"/>
              </w:rPr>
              <w:t xml:space="preserve"> </w:t>
            </w:r>
            <w:r>
              <w:rPr>
                <w:rFonts w:hint="eastAsia" w:eastAsia="宋体"/>
                <w:highlight w:val="none"/>
              </w:rPr>
              <w:t>个；库房</w:t>
            </w:r>
            <w:r>
              <w:rPr>
                <w:rFonts w:hint="eastAsia"/>
                <w:highlight w:val="none"/>
                <w:lang w:val="en-US" w:eastAsia="zh-CN"/>
              </w:rPr>
              <w:t xml:space="preserve"> </w:t>
            </w:r>
            <w:r>
              <w:rPr>
                <w:rFonts w:hint="eastAsia" w:eastAsia="宋体"/>
                <w:highlight w:val="none"/>
              </w:rPr>
              <w:t>个；实验室</w:t>
            </w:r>
            <w:r>
              <w:rPr>
                <w:rFonts w:hint="eastAsia" w:eastAsia="宋体"/>
                <w:highlight w:val="none"/>
                <w:lang w:val="en-US" w:eastAsia="zh-CN"/>
              </w:rPr>
              <w:t xml:space="preserve"> </w:t>
            </w:r>
            <w:r>
              <w:rPr>
                <w:rFonts w:hint="eastAsia" w:eastAsia="宋体"/>
                <w:highlight w:val="none"/>
              </w:rPr>
              <w:t>个；</w:t>
            </w:r>
          </w:p>
          <w:p>
            <w:pPr>
              <w:shd w:val="clear" w:color="auto" w:fill="EBF1DE" w:themeFill="accent3" w:themeFillTint="32"/>
              <w:rPr>
                <w:rFonts w:hint="eastAsia" w:eastAsia="宋体"/>
                <w:highlight w:val="none"/>
              </w:rPr>
            </w:pPr>
            <w:r>
              <w:rPr>
                <w:rFonts w:hint="eastAsia" w:eastAsia="宋体"/>
              </w:rPr>
              <w:t>主要生产设备有：</w:t>
            </w:r>
            <w:r>
              <w:rPr>
                <w:rFonts w:hint="eastAsia"/>
                <w:lang w:eastAsia="zh-CN"/>
              </w:rPr>
              <w:t>处理罐、潜水泵和电脑及办公设备等</w:t>
            </w:r>
            <w:r>
              <w:rPr>
                <w:rFonts w:hint="eastAsia" w:eastAsia="宋体"/>
                <w:highlight w:val="none"/>
              </w:rPr>
              <w:t>等</w:t>
            </w:r>
            <w:r>
              <w:rPr>
                <w:rFonts w:hint="eastAsia" w:eastAsia="宋体"/>
                <w:highlight w:val="none"/>
                <w:lang w:val="en-US" w:eastAsia="zh-CN"/>
              </w:rPr>
              <w:t xml:space="preserve"> </w:t>
            </w:r>
          </w:p>
          <w:p>
            <w:pPr>
              <w:shd w:val="clear" w:color="auto" w:fill="EBF1DE" w:themeFill="accent3" w:themeFillTint="32"/>
              <w:rPr>
                <w:rFonts w:hint="eastAsia" w:eastAsia="宋体"/>
                <w:highlight w:val="none"/>
              </w:rPr>
            </w:pPr>
            <w:r>
              <w:rPr>
                <w:rFonts w:hint="eastAsia" w:eastAsia="宋体"/>
                <w:highlight w:val="none"/>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vAlign w:val="top"/>
                </w:tcPr>
                <w:p>
                  <w:pPr>
                    <w:shd w:val="clear" w:color="auto" w:fill="EBF1DE" w:themeFill="accent3" w:themeFillTint="32"/>
                    <w:jc w:val="left"/>
                    <w:rPr>
                      <w:highlight w:val="none"/>
                    </w:rPr>
                  </w:pPr>
                </w:p>
              </w:tc>
              <w:tc>
                <w:tcPr>
                  <w:tcW w:w="3265" w:type="dxa"/>
                  <w:vAlign w:val="top"/>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vAlign w:val="top"/>
                </w:tcPr>
                <w:p>
                  <w:pPr>
                    <w:shd w:val="clear" w:color="auto" w:fill="EBF1DE" w:themeFill="accent3" w:themeFillTint="32"/>
                    <w:jc w:val="left"/>
                    <w:rPr>
                      <w:highlight w:val="none"/>
                    </w:rPr>
                  </w:pPr>
                </w:p>
              </w:tc>
              <w:tc>
                <w:tcPr>
                  <w:tcW w:w="3265" w:type="dxa"/>
                  <w:vAlign w:val="top"/>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rFonts w:hint="default"/>
                      <w:highlight w:val="none"/>
                      <w:lang w:val="en-US"/>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粉尘排放</w:t>
                  </w:r>
                </w:p>
              </w:tc>
              <w:tc>
                <w:tcPr>
                  <w:tcW w:w="3665" w:type="dxa"/>
                  <w:vAlign w:val="top"/>
                </w:tcPr>
                <w:p>
                  <w:pPr>
                    <w:shd w:val="clear" w:color="auto" w:fill="EBF1DE" w:themeFill="accent3" w:themeFillTint="32"/>
                    <w:jc w:val="left"/>
                    <w:rPr>
                      <w:highlight w:val="none"/>
                    </w:rPr>
                  </w:pPr>
                </w:p>
              </w:tc>
              <w:tc>
                <w:tcPr>
                  <w:tcW w:w="3265" w:type="dxa"/>
                  <w:vAlign w:val="center"/>
                </w:tcPr>
                <w:p>
                  <w:pPr>
                    <w:spacing w:line="360" w:lineRule="exact"/>
                    <w:ind w:firstLine="105" w:firstLineChars="5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vAlign w:val="top"/>
                </w:tcPr>
                <w:p>
                  <w:pPr>
                    <w:spacing w:line="360" w:lineRule="exact"/>
                    <w:rPr>
                      <w:rFonts w:hint="eastAsia" w:ascii="宋体" w:hAnsi="宋体"/>
                      <w:szCs w:val="21"/>
                      <w:highlight w:val="none"/>
                    </w:rPr>
                  </w:pPr>
                  <w:r>
                    <w:rPr>
                      <w:rFonts w:hint="eastAsia" w:ascii="宋体" w:hAnsi="宋体"/>
                      <w:szCs w:val="21"/>
                      <w:highlight w:val="none"/>
                    </w:rPr>
                    <w:t xml:space="preserve">制定环境管理方案、运行控制程序   </w:t>
                  </w:r>
                </w:p>
                <w:p>
                  <w:pPr>
                    <w:shd w:val="clear" w:color="auto" w:fill="EBF1DE" w:themeFill="accent3" w:themeFillTint="32"/>
                    <w:jc w:val="left"/>
                    <w:rPr>
                      <w:highlight w:val="none"/>
                    </w:rPr>
                  </w:pPr>
                  <w:r>
                    <w:rPr>
                      <w:rFonts w:hint="eastAsia" w:ascii="宋体" w:hAnsi="宋体"/>
                      <w:szCs w:val="21"/>
                      <w:highlight w:val="none"/>
                    </w:rPr>
                    <w:t>应急预案及 应急演练</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w:t>
            </w:r>
            <w:r>
              <w:rPr>
                <w:rFonts w:hint="eastAsia"/>
                <w:highlight w:val="none"/>
              </w:rPr>
              <w:t>，如：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15</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highlight w:val="none"/>
              </w:rPr>
            </w:pPr>
            <w:r>
              <w:rPr>
                <w:rFonts w:hint="eastAsia"/>
              </w:rPr>
              <w:t>实</w:t>
            </w:r>
            <w:r>
              <w:rPr>
                <w:rFonts w:hint="eastAsia"/>
                <w:highlight w:val="none"/>
              </w:rPr>
              <w:t>施合规性评价的时间：</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24</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2022年10月9日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2022年10月20日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GB"/>
              </w:rPr>
            </w:pPr>
            <w:r>
              <w:rPr>
                <w:rFonts w:hint="eastAsia"/>
                <w:lang w:val="en-GB"/>
              </w:rPr>
              <w:t>最高管理者制定了文件化的职业健康安全管理体系方针：</w:t>
            </w:r>
            <w:r>
              <w:rPr>
                <w:rFonts w:hint="eastAsia"/>
                <w:lang w:val="en-GB" w:eastAsia="zh-CN"/>
              </w:rPr>
              <w:t>“</w:t>
            </w:r>
            <w:r>
              <w:rPr>
                <w:rFonts w:hint="eastAsia"/>
                <w:lang w:val="en-GB"/>
              </w:rPr>
              <w:t>以稳定品质、完善服务、持续改进、满足顾客需求；以安全生产、保护环境、守法诚信、体现社会责任</w:t>
            </w:r>
            <w:r>
              <w:rPr>
                <w:rFonts w:hint="eastAsia"/>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综合部</w:t>
            </w:r>
          </w:p>
          <w:p>
            <w:pPr>
              <w:rPr>
                <w:highlight w:val="none"/>
              </w:rPr>
            </w:pPr>
            <w:r>
              <w:rPr>
                <w:rFonts w:hint="eastAsia"/>
                <w:highlight w:val="none"/>
              </w:rPr>
              <w:t>安全的主管部门是—</w:t>
            </w:r>
            <w:r>
              <w:rPr>
                <w:rFonts w:hint="eastAsia" w:ascii="宋体" w:hAnsi="宋体" w:cs="新宋体"/>
                <w:sz w:val="21"/>
                <w:szCs w:val="21"/>
              </w:rPr>
              <w:t>生产技术</w:t>
            </w:r>
            <w:r>
              <w:rPr>
                <w:rFonts w:hint="eastAsia" w:ascii="宋体" w:hAnsi="宋体" w:cs="新宋体"/>
                <w:sz w:val="21"/>
                <w:szCs w:val="21"/>
                <w:lang w:val="en-US" w:eastAsia="zh-CN"/>
              </w:rPr>
              <w:t>安全管理</w:t>
            </w:r>
            <w:r>
              <w:rPr>
                <w:rFonts w:hint="eastAsia"/>
                <w:highlight w:val="none"/>
                <w:lang w:val="en-US" w:eastAsia="zh-CN"/>
              </w:rPr>
              <w:t>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highlight w:val="none"/>
              </w:rPr>
            </w:pPr>
            <w:r>
              <w:rPr>
                <w:rFonts w:hint="eastAsia"/>
                <w:highlight w:val="none"/>
              </w:rPr>
              <w:t>员工代表是—</w:t>
            </w:r>
            <w:r>
              <w:rPr>
                <w:rFonts w:hint="eastAsia" w:cs="Times New Roman"/>
                <w:highlight w:val="none"/>
                <w:lang w:val="en-US" w:eastAsia="zh-CN"/>
              </w:rPr>
              <w:t>甘开秀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hint="default" w:cs="Times New Roman" w:asciiTheme="minorEastAsia" w:hAnsiTheme="minorEastAsia" w:eastAsiaTheme="minorEastAsia"/>
                      <w:b w:val="0"/>
                      <w:bCs w:val="0"/>
                      <w:sz w:val="21"/>
                      <w:szCs w:val="21"/>
                      <w:highlight w:val="none"/>
                      <w:lang w:val="en-US" w:eastAsia="zh-CN"/>
                    </w:rPr>
                  </w:pPr>
                  <w:r>
                    <w:rPr>
                      <w:rFonts w:hint="eastAsia"/>
                      <w:sz w:val="21"/>
                      <w:szCs w:val="21"/>
                      <w:lang w:eastAsia="zh-CN"/>
                    </w:rPr>
                    <w:t>潜在</w:t>
                  </w:r>
                  <w:r>
                    <w:rPr>
                      <w:rFonts w:hint="eastAsia"/>
                      <w:sz w:val="21"/>
                      <w:szCs w:val="21"/>
                    </w:rPr>
                    <w:t>火灾</w:t>
                  </w:r>
                </w:p>
              </w:tc>
              <w:tc>
                <w:tcPr>
                  <w:tcW w:w="3965" w:type="dxa"/>
                  <w:vAlign w:val="top"/>
                </w:tcPr>
                <w:p>
                  <w:pPr>
                    <w:rPr>
                      <w:rFonts w:hint="default" w:eastAsia="宋体"/>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hint="eastAsia" w:cs="Times New Roman" w:asciiTheme="minorEastAsia" w:hAnsiTheme="minorEastAsia" w:eastAsiaTheme="minorEastAsia"/>
                      <w:b w:val="0"/>
                      <w:bCs w:val="0"/>
                      <w:sz w:val="21"/>
                      <w:szCs w:val="21"/>
                      <w:highlight w:val="none"/>
                      <w:lang w:val="en-US" w:eastAsia="zh-CN"/>
                    </w:rPr>
                  </w:pPr>
                  <w:r>
                    <w:rPr>
                      <w:rFonts w:hint="eastAsia"/>
                      <w:sz w:val="21"/>
                      <w:szCs w:val="21"/>
                      <w:lang w:eastAsia="zh-CN"/>
                    </w:rPr>
                    <w:t>意外伤害</w:t>
                  </w:r>
                </w:p>
              </w:tc>
              <w:tc>
                <w:tcPr>
                  <w:tcW w:w="3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hint="eastAsia" w:cs="Times New Roman" w:asciiTheme="minorEastAsia" w:hAnsiTheme="minorEastAsia" w:eastAsiaTheme="minorEastAsia"/>
                      <w:b w:val="0"/>
                      <w:bCs w:val="0"/>
                      <w:sz w:val="21"/>
                      <w:szCs w:val="21"/>
                      <w:highlight w:val="none"/>
                      <w:lang w:val="en-US" w:eastAsia="zh-CN"/>
                    </w:rPr>
                  </w:pPr>
                  <w:r>
                    <w:rPr>
                      <w:rFonts w:hint="eastAsia"/>
                      <w:sz w:val="21"/>
                      <w:szCs w:val="21"/>
                    </w:rPr>
                    <w:t>触  电</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ascii="Times New Roman" w:hAnsi="Times New Roman" w:eastAsia="宋体" w:cs="Times New Roman"/>
                      <w:kern w:val="2"/>
                      <w:sz w:val="21"/>
                      <w:szCs w:val="24"/>
                      <w:highlight w:val="none"/>
                      <w:lang w:val="en-US" w:eastAsia="zh-CN" w:bidi="ar-SA"/>
                    </w:rPr>
                  </w:pPr>
                  <w:r>
                    <w:rPr>
                      <w:rFonts w:hint="eastAsia"/>
                      <w:sz w:val="21"/>
                      <w:szCs w:val="21"/>
                    </w:rPr>
                    <w:t>机械伤害</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ascii="Times New Roman" w:hAnsi="Times New Roman" w:eastAsia="宋体" w:cs="Times New Roman"/>
                      <w:kern w:val="2"/>
                      <w:sz w:val="21"/>
                      <w:szCs w:val="24"/>
                      <w:highlight w:val="none"/>
                      <w:lang w:val="en-US" w:eastAsia="zh-CN" w:bidi="ar-SA"/>
                    </w:rPr>
                  </w:pPr>
                  <w:r>
                    <w:rPr>
                      <w:rFonts w:hint="eastAsia"/>
                      <w:sz w:val="21"/>
                      <w:szCs w:val="21"/>
                      <w:lang w:eastAsia="zh-CN"/>
                    </w:rPr>
                    <w:t>职业病</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ascii="Times New Roman" w:hAnsi="Times New Roman" w:eastAsia="宋体" w:cs="Times New Roman"/>
                      <w:kern w:val="2"/>
                      <w:sz w:val="21"/>
                      <w:szCs w:val="24"/>
                      <w:highlight w:val="none"/>
                      <w:lang w:val="en-US" w:eastAsia="zh-CN" w:bidi="ar-SA"/>
                    </w:rPr>
                  </w:pPr>
                  <w:r>
                    <w:rPr>
                      <w:rFonts w:hint="eastAsia"/>
                      <w:sz w:val="21"/>
                      <w:szCs w:val="21"/>
                    </w:rPr>
                    <w:t>井喷失控（钻井服务中）</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napToGrid w:val="0"/>
                    <w:spacing w:line="240" w:lineRule="auto"/>
                    <w:jc w:val="left"/>
                    <w:rPr>
                      <w:rFonts w:ascii="Times New Roman" w:hAnsi="Times New Roman" w:eastAsia="宋体" w:cs="Times New Roman"/>
                      <w:kern w:val="2"/>
                      <w:sz w:val="21"/>
                      <w:szCs w:val="24"/>
                      <w:highlight w:val="none"/>
                      <w:lang w:val="en-US" w:eastAsia="zh-CN" w:bidi="ar-SA"/>
                    </w:rPr>
                  </w:pPr>
                  <w:r>
                    <w:rPr>
                      <w:rFonts w:hint="eastAsia" w:eastAsia="宋体"/>
                      <w:sz w:val="21"/>
                      <w:szCs w:val="21"/>
                      <w:lang w:val="en-US" w:eastAsia="zh-CN"/>
                    </w:rPr>
                    <w:t>中毒（化学试剂）</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p>
              </w:tc>
              <w:tc>
                <w:tcPr>
                  <w:tcW w:w="3965" w:type="dxa"/>
                  <w:vAlign w:val="top"/>
                </w:tcPr>
                <w:p>
                  <w:pPr>
                    <w:rPr>
                      <w:rFonts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w:t>
            </w:r>
            <w:r>
              <w:rPr>
                <w:rFonts w:hint="eastAsia"/>
                <w:lang w:eastAsia="zh-CN"/>
              </w:rPr>
              <w:t>■</w:t>
            </w:r>
            <w:r>
              <w:rPr>
                <w:rFonts w:hint="eastAsia"/>
              </w:rPr>
              <w:t xml:space="preserve">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highlight w:val="none"/>
              </w:rPr>
            </w:pPr>
            <w:r>
              <w:rPr>
                <w:rFonts w:hint="eastAsia"/>
                <w:highlight w:val="none"/>
              </w:rPr>
              <w:t xml:space="preserve">□安全预评估报告日期：  </w:t>
            </w:r>
          </w:p>
          <w:p>
            <w:pPr>
              <w:rPr>
                <w:highlight w:val="none"/>
              </w:rPr>
            </w:pPr>
            <w:r>
              <w:rPr>
                <w:rFonts w:hint="eastAsia"/>
                <w:highlight w:val="none"/>
              </w:rPr>
              <w:t>□安全现状评估报告表日期：</w:t>
            </w:r>
          </w:p>
          <w:p>
            <w:pPr>
              <w:rPr>
                <w:highlight w:val="none"/>
              </w:rPr>
            </w:pPr>
            <w:r>
              <w:rPr>
                <w:rFonts w:hint="eastAsia"/>
                <w:highlight w:val="none"/>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重大安全事故和伤亡事故为0</w:t>
                  </w:r>
                </w:p>
              </w:tc>
              <w:tc>
                <w:tcPr>
                  <w:tcW w:w="2619" w:type="dxa"/>
                  <w:shd w:val="clear" w:color="auto" w:fill="auto"/>
                  <w:vAlign w:val="top"/>
                </w:tcPr>
                <w:p>
                  <w:pPr>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通过管理方案和预案措施进行管理</w:t>
                  </w:r>
                </w:p>
              </w:tc>
              <w:tc>
                <w:tcPr>
                  <w:tcW w:w="1155" w:type="dxa"/>
                  <w:shd w:val="clear" w:color="auto" w:fill="auto"/>
                  <w:vAlign w:val="top"/>
                </w:tcPr>
                <w:p>
                  <w:pPr>
                    <w:rPr>
                      <w:rFonts w:hint="eastAsia" w:cs="Times New Roman" w:asciiTheme="minorEastAsia" w:hAnsiTheme="minorEastAsia" w:eastAsiaTheme="minorEastAsia"/>
                      <w:b w:val="0"/>
                      <w:bCs w:val="0"/>
                      <w:kern w:val="2"/>
                      <w:sz w:val="21"/>
                      <w:szCs w:val="21"/>
                      <w:lang w:val="en-GB" w:eastAsia="zh-CN" w:bidi="ar-SA"/>
                    </w:rPr>
                  </w:pPr>
                  <w:r>
                    <w:rPr>
                      <w:rFonts w:hint="eastAsia" w:cs="Times New Roman" w:asciiTheme="minorEastAsia" w:hAnsiTheme="minorEastAsia" w:eastAsiaTheme="minorEastAsia"/>
                      <w:b w:val="0"/>
                      <w:bCs w:val="0"/>
                      <w:kern w:val="2"/>
                      <w:sz w:val="21"/>
                      <w:szCs w:val="21"/>
                      <w:lang w:val="en-US" w:eastAsia="zh-CN" w:bidi="ar-SA"/>
                    </w:rPr>
                    <w:t>有效</w:t>
                  </w:r>
                </w:p>
              </w:tc>
              <w:tc>
                <w:tcPr>
                  <w:tcW w:w="2486" w:type="dxa"/>
                  <w:shd w:val="clear" w:color="auto" w:fill="auto"/>
                  <w:vAlign w:val="center"/>
                </w:tcPr>
                <w:p>
                  <w:pPr>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杜绝重大工伤事故0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火灾事故为0</w:t>
                  </w:r>
                </w:p>
              </w:tc>
              <w:tc>
                <w:tcPr>
                  <w:tcW w:w="2619" w:type="dxa"/>
                  <w:shd w:val="clear" w:color="auto" w:fill="auto"/>
                  <w:vAlign w:val="top"/>
                </w:tcPr>
                <w:p>
                  <w:pPr>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通过管理方案和预案措施、应急演练进行管理</w:t>
                  </w:r>
                </w:p>
              </w:tc>
              <w:tc>
                <w:tcPr>
                  <w:tcW w:w="1155" w:type="dxa"/>
                  <w:shd w:val="clear" w:color="auto" w:fill="auto"/>
                  <w:vAlign w:val="top"/>
                </w:tcPr>
                <w:p>
                  <w:pPr>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有效</w:t>
                  </w:r>
                </w:p>
              </w:tc>
              <w:tc>
                <w:tcPr>
                  <w:tcW w:w="2486" w:type="dxa"/>
                  <w:shd w:val="clear" w:color="auto" w:fill="auto"/>
                  <w:vAlign w:val="center"/>
                </w:tcPr>
                <w:p>
                  <w:pPr>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杜绝火灾事故0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职业病发生为0</w:t>
                  </w:r>
                </w:p>
              </w:tc>
              <w:tc>
                <w:tcPr>
                  <w:tcW w:w="2619" w:type="dxa"/>
                  <w:shd w:val="clear" w:color="auto" w:fill="auto"/>
                  <w:vAlign w:val="center"/>
                </w:tcPr>
                <w:p>
                  <w:pPr>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通过管理方案和预案措施进行管理</w:t>
                  </w:r>
                </w:p>
              </w:tc>
              <w:tc>
                <w:tcPr>
                  <w:tcW w:w="1155" w:type="dxa"/>
                  <w:shd w:val="clear" w:color="auto" w:fill="auto"/>
                  <w:vAlign w:val="center"/>
                </w:tcPr>
                <w:p>
                  <w:pPr>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有效</w:t>
                  </w:r>
                </w:p>
              </w:tc>
              <w:tc>
                <w:tcPr>
                  <w:tcW w:w="2486" w:type="dxa"/>
                  <w:shd w:val="clear" w:color="auto" w:fill="auto"/>
                  <w:vAlign w:val="center"/>
                </w:tcPr>
                <w:p>
                  <w:pPr>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职业病发生为0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140</w:t>
            </w:r>
            <w:r>
              <w:rPr>
                <w:rFonts w:hint="eastAsia" w:ascii="Times New Roman" w:hAnsi="Times New Roman" w:eastAsia="宋体" w:cs="Times New Roman"/>
                <w:highlight w:val="none"/>
              </w:rPr>
              <w:t>平方米；生产车间</w:t>
            </w:r>
            <w:r>
              <w:rPr>
                <w:rFonts w:hint="eastAsia" w:cs="Times New Roman"/>
                <w:highlight w:val="none"/>
                <w:lang w:val="en-US" w:eastAsia="zh-CN"/>
              </w:rPr>
              <w:t xml:space="preserve"> </w:t>
            </w:r>
            <w:r>
              <w:rPr>
                <w:rFonts w:hint="eastAsia" w:ascii="Times New Roman" w:hAnsi="Times New Roman" w:eastAsia="宋体" w:cs="Times New Roman"/>
                <w:highlight w:val="none"/>
              </w:rPr>
              <w:t>个；库房</w:t>
            </w:r>
            <w:r>
              <w:rPr>
                <w:rFonts w:hint="eastAsia" w:cs="Times New Roman"/>
                <w:highlight w:val="none"/>
                <w:lang w:val="en-US" w:eastAsia="zh-CN"/>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 xml:space="preserve"> </w:t>
            </w:r>
            <w:r>
              <w:rPr>
                <w:rFonts w:hint="eastAsia" w:ascii="Times New Roman" w:hAnsi="Times New Roman" w:eastAsia="宋体" w:cs="Times New Roman"/>
                <w:highlight w:val="none"/>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处理罐、潜水泵和电脑及办公设备等</w:t>
            </w:r>
            <w:r>
              <w:rPr>
                <w:rFonts w:hint="eastAsia" w:ascii="Times New Roman" w:hAnsi="Times New Roman" w:eastAsia="宋体" w:cs="Times New Roman"/>
                <w:lang w:eastAsia="zh-C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 xml:space="preserve">漏电保护 </w:t>
                  </w:r>
                  <w:r>
                    <w:rPr>
                      <w:rFonts w:hint="eastAsia"/>
                      <w:highlight w:val="none"/>
                      <w:lang w:eastAsia="zh-CN"/>
                    </w:rPr>
                    <w:t>□</w:t>
                  </w:r>
                  <w:r>
                    <w:rPr>
                      <w:rFonts w:hint="eastAsia"/>
                      <w:highlight w:val="none"/>
                    </w:rPr>
                    <w:t>绝缘用具检测</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lang w:eastAsia="zh-CN"/>
                    </w:rPr>
                    <w:t>■</w:t>
                  </w:r>
                  <w:r>
                    <w:rPr>
                      <w:rFonts w:hint="eastAsia"/>
                      <w:highlight w:val="none"/>
                    </w:rPr>
                    <w:t xml:space="preserve">除尘装置  </w:t>
                  </w:r>
                  <w:r>
                    <w:rPr>
                      <w:rFonts w:hint="eastAsia"/>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 xml:space="preserve">□设置围堰  </w:t>
                  </w:r>
                  <w:r>
                    <w:rPr>
                      <w:rFonts w:hint="eastAsia"/>
                      <w:highlight w:val="none"/>
                      <w:lang w:eastAsia="zh-CN"/>
                    </w:rPr>
                    <w:t>■</w:t>
                  </w:r>
                  <w:r>
                    <w:rPr>
                      <w:rFonts w:hint="eastAsia"/>
                      <w:highlight w:val="none"/>
                    </w:rPr>
                    <w:t>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lang w:eastAsia="zh-CN"/>
                    </w:rPr>
                    <w:t>■</w:t>
                  </w:r>
                  <w:r>
                    <w:rPr>
                      <w:rFonts w:hint="eastAsia"/>
                      <w:highlight w:val="none"/>
                    </w:rPr>
                    <w:t xml:space="preserve">定期检测  □压力巡视 </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vAlign w:val="top"/>
                </w:tcPr>
                <w:p>
                  <w:pPr>
                    <w:jc w:val="left"/>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cs="Times New Roman"/>
                <w:lang w:val="en-US" w:eastAsia="zh-CN"/>
              </w:rPr>
              <w:t>6</w:t>
            </w:r>
            <w:r>
              <w:rPr>
                <w:rFonts w:hint="eastAsia" w:ascii="Times New Roman" w:hAnsi="Times New Roman" w:eastAsia="宋体" w:cs="Times New Roman"/>
              </w:rPr>
              <w:t>月</w:t>
            </w:r>
            <w:r>
              <w:rPr>
                <w:rFonts w:hint="eastAsia" w:cs="Times New Roman"/>
                <w:lang w:val="en-US" w:eastAsia="zh-CN"/>
              </w:rPr>
              <w:t>15</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24</w:t>
            </w:r>
            <w:r>
              <w:rPr>
                <w:rFonts w:hint="eastAsia"/>
                <w:highlight w:val="none"/>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2022年10月9日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w:t>
            </w:r>
            <w:r>
              <w:rPr>
                <w:rFonts w:hint="eastAsia"/>
              </w:rPr>
              <w:t>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2022年10月</w:t>
            </w:r>
            <w:r>
              <w:rPr>
                <w:rFonts w:hint="eastAsia" w:cs="Times New Roman"/>
                <w:lang w:val="en-US" w:eastAsia="zh-CN"/>
              </w:rPr>
              <w:t>20</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rPr>
          <w:highlight w:val="none"/>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bookmarkStart w:id="34" w:name="_GoBack"/>
            <w:bookmarkEnd w:id="34"/>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6AB64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18714</Words>
  <Characters>19498</Characters>
  <Lines>150</Lines>
  <Paragraphs>42</Paragraphs>
  <TotalTime>19</TotalTime>
  <ScaleCrop>false</ScaleCrop>
  <LinksUpToDate>false</LinksUpToDate>
  <CharactersWithSpaces>19619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2022-11-15T02:37:28Z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