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福建东方味王餐饮管理有限公司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F：GB/T22000-2006/ISO22000:2005,H：GB/T27341-2009/GB14881-2013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019-2019-F/011-2019-H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p>
          <w:p w:rsidRPr="00F51D0B" w:rsidP="008E7FD3">
            <w:pPr>
              <w:spacing w:line="280" w:lineRule="exact"/>
              <w:rPr>
                <w:rFonts w:hint="eastAsia"/>
                <w:sz w:val="22"/>
                <w:szCs w:val="22"/>
              </w:rPr>
            </w:pPr>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2018-N1FSMS-1050658</w:t>
            </w:r>
          </w:p>
          <w:p w:rsidR="009F508A">
            <w:pPr>
              <w:snapToGrid w:val="0"/>
              <w:spacing w:line="320" w:lineRule="exact"/>
              <w:ind w:left="1309"/>
              <w:rPr>
                <w:sz w:val="22"/>
                <w:szCs w:val="22"/>
                <w:highlight w:val="yellow"/>
              </w:rPr>
            </w:pPr>
            <w:r>
              <w:rPr>
                <w:sz w:val="22"/>
                <w:szCs w:val="22"/>
                <w:highlight w:val="yellow"/>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