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1227-2022-F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湖州桑基鱼塘食品有限公司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湖州桑基鱼塘食品有限公司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浙江省湖州市南浔区和孚镇荻港村三官桥95号</w:t>
            </w:r>
            <w:bookmarkEnd w:id="8"/>
          </w:p>
        </w:tc>
        <w:tc>
          <w:tcPr>
            <w:tcW w:w="1242" w:type="dxa"/>
            <w:vMerge w:val="restart"/>
            <w:vAlign w:val="center"/>
          </w:tcPr>
          <w:p>
            <w:r>
              <w:rPr>
                <w:rFonts w:hint="eastAsia"/>
              </w:rPr>
              <w:t>邮编</w:t>
            </w:r>
          </w:p>
        </w:tc>
        <w:tc>
          <w:tcPr>
            <w:tcW w:w="1771" w:type="dxa"/>
          </w:tcPr>
          <w:p>
            <w:bookmarkStart w:id="9" w:name="注册邮编"/>
            <w:r>
              <w:t>313017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浙江省湖州市南浔区和孚镇荻港村荻港渔庄内</w:t>
            </w:r>
            <w:bookmarkEnd w:id="10"/>
          </w:p>
        </w:tc>
        <w:tc>
          <w:tcPr>
            <w:tcW w:w="1242" w:type="dxa"/>
            <w:vMerge w:val="continue"/>
            <w:vAlign w:val="center"/>
          </w:tcPr>
          <w:p/>
        </w:tc>
        <w:tc>
          <w:tcPr>
            <w:tcW w:w="1771" w:type="dxa"/>
          </w:tcPr>
          <w:p>
            <w:bookmarkStart w:id="11" w:name="办公邮编"/>
            <w:r>
              <w:t>313017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吴翔</w:t>
            </w:r>
            <w:bookmarkEnd w:id="12"/>
          </w:p>
        </w:tc>
        <w:tc>
          <w:tcPr>
            <w:tcW w:w="1313" w:type="dxa"/>
            <w:vAlign w:val="center"/>
          </w:tcPr>
          <w:p>
            <w:r>
              <w:rPr>
                <w:rFonts w:hint="eastAsia"/>
              </w:rPr>
              <w:t>电话.</w:t>
            </w:r>
          </w:p>
        </w:tc>
        <w:tc>
          <w:tcPr>
            <w:tcW w:w="2180" w:type="dxa"/>
            <w:vAlign w:val="center"/>
          </w:tcPr>
          <w:p>
            <w:bookmarkStart w:id="13" w:name="联系人电话"/>
            <w:r>
              <w:t>15905826299</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倪威</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吴翔</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color w:val="000000"/>
                <w:lang w:val="en-US" w:eastAsia="zh-CN"/>
              </w:rPr>
            </w:pPr>
            <w:r>
              <w:rPr>
                <w:rFonts w:hint="eastAsia"/>
                <w:color w:val="000000"/>
                <w:lang w:val="en-US" w:eastAsia="zh-CN"/>
              </w:rPr>
              <w:t>鱼片系列</w:t>
            </w:r>
          </w:p>
          <w:p>
            <w:pPr>
              <w:rPr>
                <w:rFonts w:hint="eastAsia"/>
                <w:color w:val="000000"/>
                <w:szCs w:val="18"/>
                <w:lang w:val="en-US" w:eastAsia="zh-CN"/>
              </w:rPr>
            </w:pPr>
            <w:r>
              <w:rPr>
                <w:rFonts w:hint="eastAsia"/>
                <w:color w:val="000000"/>
                <w:szCs w:val="18"/>
                <w:lang w:val="en-US" w:eastAsia="zh-CN"/>
              </w:rPr>
              <w:t>水产验收→宰杀放血→去麟→开背→去内脏→切片→浸泡/腌制→滚揉调理→内包装→金属探测→速冻→包装入库→储存→发货运输</w:t>
            </w:r>
          </w:p>
          <w:p>
            <w:pPr>
              <w:rPr>
                <w:rFonts w:hint="default"/>
                <w:color w:val="000000"/>
                <w:szCs w:val="18"/>
                <w:lang w:val="en-US" w:eastAsia="zh-CN"/>
              </w:rPr>
            </w:pPr>
          </w:p>
          <w:p>
            <w:r>
              <w:rPr>
                <w:rFonts w:hint="eastAsia"/>
                <w:color w:val="000000"/>
                <w:szCs w:val="18"/>
                <w:u w:val="single"/>
                <w:lang w:val="en-US" w:eastAsia="zh-CN"/>
              </w:rPr>
              <w:t>备注：开背鱼系列不涉及滚揉调理过程。</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2022年11月14日 下午</w:t>
            </w:r>
            <w:r>
              <w:rPr>
                <w:rFonts w:hint="eastAsia"/>
                <w:lang w:val="en-US" w:eastAsia="zh-CN"/>
              </w:rPr>
              <w:t>13:00</w:t>
            </w:r>
            <w:r>
              <w:rPr>
                <w:rFonts w:hint="eastAsia"/>
              </w:rPr>
              <w:t>至2022年11月15日 下午</w:t>
            </w:r>
            <w:bookmarkEnd w:id="16"/>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浙江省湖州市南浔区和孚镇荻港村荻港渔庄内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highlight w:val="none"/>
              </w:rPr>
            </w:pPr>
            <w:r>
              <w:rPr>
                <w:rFonts w:hint="eastAsia" w:ascii="宋体"/>
                <w:b/>
                <w:color w:val="0000FF"/>
                <w:szCs w:val="21"/>
                <w:highlight w:val="none"/>
              </w:rPr>
              <w:t>信息安全的控制</w:t>
            </w:r>
          </w:p>
        </w:tc>
        <w:tc>
          <w:tcPr>
            <w:tcW w:w="7831" w:type="dxa"/>
            <w:gridSpan w:val="3"/>
            <w:tcMar>
              <w:left w:w="113" w:type="dxa"/>
            </w:tcMar>
            <w:vAlign w:val="bottom"/>
          </w:tcPr>
          <w:p>
            <w:pPr>
              <w:rPr>
                <w:rFonts w:ascii="宋体"/>
                <w:b/>
                <w:color w:val="0000FF"/>
                <w:szCs w:val="21"/>
                <w:highlight w:val="none"/>
              </w:rPr>
            </w:pPr>
            <w:r>
              <w:rPr>
                <w:rFonts w:hint="eastAsia" w:ascii="宋体"/>
                <w:b/>
                <w:color w:val="0000FF"/>
                <w:szCs w:val="21"/>
                <w:highlight w:val="none"/>
              </w:rPr>
              <w:sym w:font="Wingdings 2" w:char="0052"/>
            </w:r>
            <w:r>
              <w:rPr>
                <w:rFonts w:hint="eastAsia" w:ascii="宋体"/>
                <w:b/>
                <w:color w:val="0000FF"/>
                <w:szCs w:val="21"/>
                <w:highlight w:val="none"/>
              </w:rPr>
              <w:t>已与受审核方签订信息安全协议</w:t>
            </w:r>
            <w:r>
              <w:rPr>
                <w:rFonts w:hint="eastAsia" w:ascii="宋体"/>
                <w:b/>
                <w:color w:val="0000FF"/>
                <w:szCs w:val="21"/>
                <w:highlight w:val="none"/>
              </w:rPr>
              <w:sym w:font="Wingdings 2" w:char="0052"/>
            </w:r>
            <w:r>
              <w:rPr>
                <w:rFonts w:hint="eastAsia" w:ascii="宋体"/>
                <w:b/>
                <w:color w:val="0000FF"/>
                <w:szCs w:val="21"/>
                <w:highlight w:val="none"/>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A3"/>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位于浙江省湖州市南浔区和孚镇荻港村荻港渔庄内湖州桑基鱼塘食品有限公司生产车间的速冻调制食品（生制品（速冻调味水产制品））的生产</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CI-4</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年月日</w:t>
            </w:r>
            <w:r>
              <w:rPr>
                <w:rFonts w:hint="eastAsia"/>
                <w:lang w:eastAsia="zh-CN"/>
              </w:rPr>
              <w:t>——</w:t>
            </w:r>
            <w:r>
              <w:rPr>
                <w:rFonts w:hint="eastAsia"/>
                <w:lang w:val="en-US" w:eastAsia="zh-CN"/>
              </w:rPr>
              <w:t>初审</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有效至年月日</w:t>
            </w:r>
            <w:r>
              <w:rPr>
                <w:rFonts w:hint="eastAsia"/>
                <w:lang w:eastAsia="zh-CN"/>
              </w:rPr>
              <w:t>——</w:t>
            </w:r>
            <w:r>
              <w:rPr>
                <w:rFonts w:hint="eastAsia"/>
                <w:lang w:val="en-US" w:eastAsia="zh-CN"/>
              </w:rPr>
              <w:t>初审</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湖州桑基鱼塘食品有限公司</w:t>
            </w:r>
          </w:p>
          <w:p>
            <w:pPr>
              <w:pStyle w:val="3"/>
              <w:rPr>
                <w:rFonts w:ascii="Arial" w:hAnsi="Arial" w:eastAsia="宋体" w:cs="Times New Roman"/>
                <w:b/>
                <w:kern w:val="2"/>
                <w:sz w:val="21"/>
                <w:szCs w:val="24"/>
                <w:lang w:val="de-DE" w:eastAsia="ja-JP" w:bidi="ar-SA"/>
              </w:rPr>
            </w:pPr>
            <w:r>
              <w:rPr>
                <w:sz w:val="21"/>
                <w:szCs w:val="21"/>
              </w:rPr>
              <w:t>浙江省湖州市南浔区和孚镇荻港村三官桥95号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浙江省湖州市南浔区和孚镇荻港村荻港渔庄内</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40人</w:t>
            </w:r>
          </w:p>
        </w:tc>
        <w:tc>
          <w:tcPr>
            <w:tcW w:w="2803" w:type="dxa"/>
            <w:vAlign w:val="center"/>
          </w:tcPr>
          <w:p>
            <w:pPr>
              <w:pStyle w:val="24"/>
              <w:rPr>
                <w:rFonts w:ascii="Times New Roman" w:hAnsi="Times New Roman" w:eastAsia="黑体" w:cs="Arial"/>
                <w:kern w:val="2"/>
                <w:sz w:val="21"/>
                <w:szCs w:val="21"/>
                <w:lang w:val="en-US" w:eastAsia="ja-JP" w:bidi="ar-SA"/>
              </w:rPr>
            </w:pPr>
            <w:r>
              <w:t>位于浙江省湖州市南浔区和孚镇荻港村荻港渔庄内湖州桑基鱼塘食品有限公司生产车间的速冻调制食品（生制品（速冻调味水产制品））的生产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CI-4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朱亮亮</w:t>
            </w:r>
            <w:r>
              <w:rPr>
                <w:rFonts w:hint="eastAsia"/>
                <w:lang w:eastAsia="zh-CN"/>
              </w:rPr>
              <w:t>（</w:t>
            </w:r>
            <w:r>
              <w:rPr>
                <w:rFonts w:hint="eastAsia"/>
                <w:lang w:val="en-US" w:eastAsia="zh-CN"/>
              </w:rPr>
              <w:t>远程</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2020-N1FSMS-1246600</w:t>
            </w:r>
          </w:p>
        </w:tc>
        <w:tc>
          <w:tcPr>
            <w:tcW w:w="2179" w:type="dxa"/>
            <w:vAlign w:val="center"/>
          </w:tcPr>
          <w:p>
            <w:r>
              <w:t>CI-4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马焕秋</w:t>
            </w:r>
            <w:r>
              <w:rPr>
                <w:rFonts w:hint="eastAsia"/>
                <w:lang w:eastAsia="zh-CN"/>
              </w:rPr>
              <w:t>（</w:t>
            </w:r>
            <w:r>
              <w:rPr>
                <w:rFonts w:hint="eastAsia"/>
                <w:lang w:val="en-US" w:eastAsia="zh-CN"/>
              </w:rPr>
              <w:t>远程实习</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2022-N0FSMS-1296764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20"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在二阶段验证，未完成的开具不符合项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4</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4</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位于浙江省湖州市南浔区和孚镇荻港村荻港渔庄内湖州桑基鱼塘食品有限公司生产车间的速冻调制食品（生制品（速冻调味水产制品））的生产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default"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eastAsia="zh-CN"/>
              </w:rPr>
              <w:t>——</w:t>
            </w:r>
            <w:r>
              <w:rPr>
                <w:rFonts w:hint="eastAsia" w:ascii="宋体"/>
                <w:b/>
                <w:color w:val="0000FF"/>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4" w:hRule="exact"/>
          <w:jc w:val="center"/>
        </w:trPr>
        <w:tc>
          <w:tcPr>
            <w:tcW w:w="1842" w:type="dxa"/>
          </w:tcPr>
          <w:p>
            <w:pPr>
              <w:rPr>
                <w:highlight w:val="none"/>
              </w:rPr>
            </w:pPr>
            <w:bookmarkStart w:id="40" w:name="_GoBack" w:colFirst="0" w:colLast="3"/>
            <w:r>
              <w:rPr>
                <w:rFonts w:hint="eastAsia"/>
                <w:highlight w:val="none"/>
              </w:rPr>
              <w:t>审核组长签字</w:t>
            </w:r>
          </w:p>
        </w:tc>
        <w:tc>
          <w:tcPr>
            <w:tcW w:w="2764" w:type="dxa"/>
            <w:tcMar>
              <w:left w:w="113" w:type="dxa"/>
            </w:tcMar>
          </w:tcPr>
          <w:p>
            <w:pPr>
              <w:rPr>
                <w:highlight w:val="none"/>
              </w:rPr>
            </w:pPr>
          </w:p>
          <w:p>
            <w:pPr>
              <w:rPr>
                <w:rFonts w:hint="eastAsia" w:eastAsia="宋体"/>
                <w:highlight w:val="none"/>
                <w:lang w:eastAsia="zh-CN"/>
              </w:rPr>
            </w:pPr>
            <w:r>
              <w:rPr>
                <w:rFonts w:hint="eastAsia" w:eastAsia="宋体"/>
                <w:highlight w:val="none"/>
                <w:lang w:eastAsia="zh-CN"/>
              </w:rPr>
              <w:drawing>
                <wp:inline distT="0" distB="0" distL="114300" distR="114300">
                  <wp:extent cx="1024890" cy="593725"/>
                  <wp:effectExtent l="0" t="0" r="3810" b="635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1024890" cy="593725"/>
                          </a:xfrm>
                          <a:prstGeom prst="rect">
                            <a:avLst/>
                          </a:prstGeom>
                        </pic:spPr>
                      </pic:pic>
                    </a:graphicData>
                  </a:graphic>
                </wp:inline>
              </w:drawing>
            </w: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2022-11-25</w:t>
            </w:r>
          </w:p>
        </w:tc>
      </w:tr>
      <w:bookmarkEnd w:id="40"/>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F4B8FF"/>
                    <w:ind w:firstLine="1260" w:firstLineChars="600"/>
                    <w:rPr>
                      <w:highlight w:val="none"/>
                    </w:rPr>
                  </w:pPr>
                </w:p>
              </w:tc>
              <w:tc>
                <w:tcPr>
                  <w:tcW w:w="7375" w:type="dxa"/>
                </w:tcPr>
                <w:p>
                  <w:pPr>
                    <w:shd w:val="clear" w:color="auto" w:fill="F4B8FF"/>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A3"/>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 xml:space="preserve">网络安全 </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A3"/>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绩效 </w:t>
                  </w:r>
                  <w:r>
                    <w:rPr>
                      <w:rFonts w:hint="eastAsia"/>
                      <w:highlight w:val="none"/>
                    </w:rPr>
                    <w:sym w:font="Wingdings 2" w:char="00A3"/>
                  </w:r>
                  <w:r>
                    <w:rPr>
                      <w:rFonts w:hint="eastAsia"/>
                      <w:highlight w:val="none"/>
                    </w:rPr>
                    <w:t xml:space="preserve">工艺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position w:val="2"/>
                      <w:sz w:val="13"/>
                      <w:highlight w:val="none"/>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hint="eastAsia" w:ascii="Segoe UI Symbol" w:hAnsi="Segoe UI Symbol" w:cs="Segoe UI Symbol"/>
                <w:lang w:eastAsia="zh-CN"/>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1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jc w:val="left"/>
              <w:rPr>
                <w:color w:val="0000FF"/>
              </w:rPr>
            </w:pPr>
            <w:r>
              <w:rPr>
                <w:rFonts w:hint="eastAsia" w:ascii="宋体" w:hAnsi="宋体" w:eastAsia="宋体" w:cs="宋体"/>
                <w:b/>
                <w:bCs/>
                <w:color w:val="0000FF"/>
                <w:kern w:val="0"/>
                <w:sz w:val="23"/>
                <w:szCs w:val="23"/>
                <w:lang w:val="en-US" w:eastAsia="zh-CN" w:bidi="ar"/>
              </w:rPr>
              <w:t>“</w:t>
            </w:r>
            <w:r>
              <w:rPr>
                <w:rFonts w:hint="eastAsia" w:ascii="宋体" w:hAnsi="宋体" w:eastAsia="宋体" w:cs="宋体"/>
                <w:b/>
                <w:bCs/>
                <w:color w:val="0000FF"/>
                <w:kern w:val="0"/>
                <w:sz w:val="27"/>
                <w:szCs w:val="27"/>
                <w:lang w:val="en-US" w:eastAsia="zh-CN" w:bidi="ar"/>
              </w:rPr>
              <w:t>以食品安全赢得客户，靠诚信谋求发展，永远追求顾客满意</w:t>
            </w:r>
            <w:r>
              <w:rPr>
                <w:rFonts w:hint="eastAsia" w:ascii="宋体" w:hAnsi="宋体" w:eastAsia="宋体" w:cs="宋体"/>
                <w:b/>
                <w:bCs/>
                <w:color w:val="0000FF"/>
                <w:kern w:val="0"/>
                <w:sz w:val="23"/>
                <w:szCs w:val="23"/>
                <w:lang w:val="en-US" w:eastAsia="zh-CN" w:bidi="ar"/>
              </w:rPr>
              <w:t>。”</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吴翔 </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lang w:val="en-US" w:eastAsia="zh-CN"/>
              </w:rPr>
              <w:t>副组长</w:t>
            </w:r>
            <w:r>
              <w:rPr>
                <w:rFonts w:hint="eastAsia"/>
                <w:u w:val="single"/>
                <w:lang w:val="en-US" w:eastAsia="zh-CN"/>
              </w:rPr>
              <w:t xml:space="preserve"> 孙雪刚 </w:t>
            </w:r>
            <w:r>
              <w:rPr>
                <w:rFonts w:hint="eastAsia"/>
                <w:u w:val="none"/>
              </w:rPr>
              <w:t xml:space="preserve"> </w:t>
            </w:r>
            <w:r>
              <w:rPr>
                <w:rFonts w:hint="eastAsia" w:ascii="Wingdings" w:hAnsi="Wingdings"/>
                <w:u w:val="none"/>
              </w:rPr>
              <w:sym w:font="Wingdings 2" w:char="0052"/>
            </w:r>
            <w:r>
              <w:rPr>
                <w:rFonts w:hint="eastAsia" w:ascii="Wingdings" w:hAnsi="Wingdings"/>
                <w:u w:val="none"/>
                <w:lang w:val="en-US" w:eastAsia="zh-CN"/>
              </w:rPr>
              <w:t>先生</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color w:val="000000"/>
                      <w:kern w:val="0"/>
                      <w:sz w:val="21"/>
                      <w:szCs w:val="21"/>
                      <w:lang w:val="en-US" w:eastAsia="zh-CN" w:bidi="ar"/>
                    </w:rPr>
                  </w:pPr>
                  <w:r>
                    <w:rPr>
                      <w:rFonts w:hint="eastAsia" w:ascii="宋体" w:hAnsi="宋体"/>
                      <w:szCs w:val="21"/>
                      <w:lang w:val="en-US" w:eastAsia="zh-CN"/>
                    </w:rPr>
                    <w:t>原料鱼价格变化较大；采购控制较难</w:t>
                  </w:r>
                </w:p>
              </w:tc>
              <w:tc>
                <w:tcPr>
                  <w:tcW w:w="3965" w:type="dxa"/>
                  <w:vAlign w:val="top"/>
                </w:tcPr>
                <w:p>
                  <w:pPr>
                    <w:rPr>
                      <w:rFonts w:hint="default"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及时关注市场价格动态，掌握最新价格信息</w:t>
                  </w:r>
                </w:p>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提高自身鱼塘产能，减少外购需求</w:t>
                  </w:r>
                </w:p>
              </w:tc>
              <w:tc>
                <w:tcPr>
                  <w:tcW w:w="1717" w:type="dxa"/>
                  <w:vAlign w:val="top"/>
                </w:tcPr>
                <w:p>
                  <w:pPr>
                    <w:rPr>
                      <w:rFonts w:ascii="宋体" w:hAnsi="宋体" w:eastAsia="宋体" w:cs="Times New Roman"/>
                      <w:kern w:val="2"/>
                      <w:sz w:val="21"/>
                      <w:szCs w:val="21"/>
                      <w:lang w:val="en-US" w:eastAsia="zh-CN" w:bidi="ar-SA"/>
                    </w:rPr>
                  </w:pPr>
                  <w:r>
                    <w:rPr>
                      <w:rFonts w:hint="eastAsia" w:ascii="宋体" w:hAnsi="宋体"/>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szCs w:val="24"/>
                      <w:lang w:val="en-US" w:eastAsia="zh-CN"/>
                    </w:rPr>
                    <w:t>没有对供方提供的产品和服务进行验证</w:t>
                  </w:r>
                </w:p>
              </w:tc>
              <w:tc>
                <w:tcPr>
                  <w:tcW w:w="3965"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严格按照供方管理制度进行严格管理，确保产品质量符合采购要求</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szCs w:val="21"/>
                      <w:lang w:val="en-US" w:eastAsia="zh-CN"/>
                    </w:rPr>
                    <w:t>与大型客户合作，品牌定位较高</w:t>
                  </w:r>
                </w:p>
              </w:tc>
              <w:tc>
                <w:tcPr>
                  <w:tcW w:w="3965" w:type="dxa"/>
                  <w:vAlign w:val="top"/>
                </w:tcPr>
                <w:p>
                  <w:pPr>
                    <w:numPr>
                      <w:ilvl w:val="0"/>
                      <w:numId w:val="0"/>
                    </w:numPr>
                    <w:rPr>
                      <w:rFonts w:hint="default"/>
                      <w:lang w:val="en-US" w:eastAsia="zh-CN"/>
                    </w:rPr>
                  </w:pPr>
                  <w:r>
                    <w:rPr>
                      <w:rFonts w:hint="eastAsia"/>
                      <w:lang w:val="en-US" w:eastAsia="zh-CN"/>
                    </w:rPr>
                    <w:t>1、积极与客户进行洽谈，尽快促成合作</w:t>
                  </w:r>
                </w:p>
                <w:p>
                  <w:pPr>
                    <w:numPr>
                      <w:ilvl w:val="0"/>
                      <w:numId w:val="0"/>
                    </w:numPr>
                    <w:rPr>
                      <w:rFonts w:hint="eastAsia"/>
                      <w:lang w:val="en-US" w:eastAsia="zh-CN"/>
                    </w:rPr>
                  </w:pPr>
                  <w:r>
                    <w:rPr>
                      <w:rFonts w:hint="eastAsia"/>
                      <w:lang w:val="en-US" w:eastAsia="zh-CN"/>
                    </w:rPr>
                    <w:t>2、提升产品品质，吸引大客户并赢得信任；</w:t>
                  </w:r>
                </w:p>
                <w:p>
                  <w:pPr>
                    <w:pStyle w:val="10"/>
                    <w:tabs>
                      <w:tab w:val="left" w:pos="540"/>
                    </w:tabs>
                    <w:ind w:left="0" w:leftChars="0" w:firstLine="0" w:firstLineChars="0"/>
                    <w:rPr>
                      <w:rFonts w:hint="default" w:ascii="Times New Roman" w:hAnsi="Times New Roman" w:eastAsia="宋体" w:cs="Times New Roman"/>
                      <w:b/>
                      <w:kern w:val="0"/>
                      <w:sz w:val="21"/>
                      <w:szCs w:val="24"/>
                      <w:lang w:val="en-US" w:eastAsia="zh-CN" w:bidi="ar-SA"/>
                    </w:rPr>
                  </w:pPr>
                  <w:r>
                    <w:rPr>
                      <w:rFonts w:hint="eastAsia"/>
                      <w:lang w:val="en-US" w:eastAsia="zh-CN"/>
                    </w:rPr>
                    <w:t>3、通过体系的建立强化内部管理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rPr>
                      <w:highlight w:val="yellow"/>
                    </w:rPr>
                  </w:pPr>
                </w:p>
              </w:tc>
              <w:tc>
                <w:tcPr>
                  <w:tcW w:w="3965" w:type="dxa"/>
                </w:tcPr>
                <w:p>
                  <w:pPr>
                    <w:shd w:val="clear" w:color="auto" w:fill="F4B8FF"/>
                    <w:rPr>
                      <w:highlight w:val="yellow"/>
                    </w:rPr>
                  </w:pPr>
                </w:p>
              </w:tc>
              <w:tc>
                <w:tcPr>
                  <w:tcW w:w="1717" w:type="dxa"/>
                </w:tcPr>
                <w:p>
                  <w:pPr>
                    <w:shd w:val="clear" w:color="auto" w:fill="F4B8FF"/>
                    <w:rPr>
                      <w:highlight w:val="yellow"/>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6"/>
              <w:rPr>
                <w:rFonts w:hint="eastAsia"/>
              </w:rPr>
            </w:pPr>
          </w:p>
          <w:tbl>
            <w:tblPr>
              <w:tblStyle w:val="11"/>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877"/>
              <w:gridCol w:w="2023"/>
              <w:gridCol w:w="1268"/>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70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szCs w:val="22"/>
                    </w:rPr>
                    <w:t>食品安全目标</w:t>
                  </w:r>
                </w:p>
              </w:tc>
              <w:tc>
                <w:tcPr>
                  <w:tcW w:w="877"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考核频次</w:t>
                  </w:r>
                </w:p>
              </w:tc>
              <w:tc>
                <w:tcPr>
                  <w:tcW w:w="202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计算方法</w:t>
                  </w:r>
                </w:p>
              </w:tc>
              <w:tc>
                <w:tcPr>
                  <w:tcW w:w="1268"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szCs w:val="22"/>
                    </w:rPr>
                    <w:t>责任部门</w:t>
                  </w:r>
                </w:p>
              </w:tc>
              <w:tc>
                <w:tcPr>
                  <w:tcW w:w="2109"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完成情况</w:t>
                  </w:r>
                  <w:r>
                    <w:rPr>
                      <w:rFonts w:hint="eastAsia"/>
                      <w:b w:val="0"/>
                      <w:bCs/>
                      <w:sz w:val="24"/>
                    </w:rPr>
                    <w:t>（2022.8-202</w:t>
                  </w:r>
                  <w:r>
                    <w:rPr>
                      <w:rFonts w:hint="eastAsia"/>
                      <w:b w:val="0"/>
                      <w:bCs/>
                      <w:sz w:val="24"/>
                      <w:lang w:val="en-US" w:eastAsia="zh-CN"/>
                    </w:rPr>
                    <w:t>2</w:t>
                  </w:r>
                  <w:r>
                    <w:rPr>
                      <w:rFonts w:hint="eastAsia"/>
                      <w:b w:val="0"/>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05"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cs="宋体"/>
                      <w:bCs/>
                      <w:color w:val="000000"/>
                      <w:sz w:val="24"/>
                    </w:rPr>
                    <w:t>食品安全事故为0</w:t>
                  </w:r>
                  <w:r>
                    <w:rPr>
                      <w:rFonts w:hint="eastAsia"/>
                      <w:bCs/>
                      <w:sz w:val="24"/>
                    </w:rPr>
                    <w:t>；</w:t>
                  </w:r>
                </w:p>
              </w:tc>
              <w:tc>
                <w:tcPr>
                  <w:tcW w:w="87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每年</w:t>
                  </w:r>
                </w:p>
              </w:tc>
              <w:tc>
                <w:tcPr>
                  <w:tcW w:w="2023"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每年统计因本公司责任造成的食品安全事故发生情况</w:t>
                  </w:r>
                </w:p>
              </w:tc>
              <w:tc>
                <w:tcPr>
                  <w:tcW w:w="1268" w:type="dxa"/>
                  <w:vAlign w:val="top"/>
                </w:tcPr>
                <w:p>
                  <w:pPr>
                    <w:spacing w:before="156" w:beforeLines="5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生产部、质技部</w:t>
                  </w:r>
                </w:p>
              </w:tc>
              <w:tc>
                <w:tcPr>
                  <w:tcW w:w="2109" w:type="dxa"/>
                  <w:vAlign w:val="top"/>
                </w:tcPr>
                <w:p>
                  <w:pPr>
                    <w:spacing w:before="156" w:beforeLines="50"/>
                    <w:jc w:val="center"/>
                    <w:rPr>
                      <w:rFonts w:hint="eastAsia" w:ascii="Times New Roman" w:hAnsi="Times New Roman" w:eastAsia="宋体" w:cs="Times New Roman"/>
                      <w:kern w:val="2"/>
                      <w:sz w:val="21"/>
                      <w:szCs w:val="21"/>
                      <w:lang w:val="en-US" w:eastAsia="zh-CN" w:bidi="ar-SA"/>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705"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cs="宋体"/>
                      <w:bCs/>
                      <w:color w:val="000000"/>
                      <w:sz w:val="24"/>
                    </w:rPr>
                    <w:t>产品出厂合格率达到100%</w:t>
                  </w:r>
                </w:p>
              </w:tc>
              <w:tc>
                <w:tcPr>
                  <w:tcW w:w="87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每月</w:t>
                  </w:r>
                </w:p>
              </w:tc>
              <w:tc>
                <w:tcPr>
                  <w:tcW w:w="2023"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生产的产品须经出厂检验合格后方能出厂，未经检验和不合格产品不准出厂</w:t>
                  </w:r>
                </w:p>
              </w:tc>
              <w:tc>
                <w:tcPr>
                  <w:tcW w:w="1268" w:type="dxa"/>
                  <w:vAlign w:val="top"/>
                </w:tcPr>
                <w:p>
                  <w:pPr>
                    <w:spacing w:before="156" w:beforeLines="5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质技部</w:t>
                  </w:r>
                </w:p>
              </w:tc>
              <w:tc>
                <w:tcPr>
                  <w:tcW w:w="2109" w:type="dxa"/>
                  <w:vAlign w:val="top"/>
                </w:tcPr>
                <w:p>
                  <w:pPr>
                    <w:spacing w:before="156" w:beforeLines="50"/>
                    <w:jc w:val="center"/>
                    <w:rPr>
                      <w:rFonts w:hint="eastAsia" w:ascii="Times New Roman" w:hAnsi="Times New Roman" w:eastAsia="宋体" w:cs="Times New Roman"/>
                      <w:kern w:val="2"/>
                      <w:sz w:val="21"/>
                      <w:szCs w:val="21"/>
                      <w:lang w:val="en-US" w:eastAsia="zh-CN" w:bidi="ar-SA"/>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none"/>
                    </w:rPr>
                    <w:t>顾客满意度≥90%</w:t>
                  </w:r>
                </w:p>
              </w:tc>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每年</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顾客满意度调查结果分析</w:t>
                  </w:r>
                </w:p>
              </w:tc>
              <w:tc>
                <w:tcPr>
                  <w:tcW w:w="0" w:type="auto"/>
                  <w:vAlign w:val="top"/>
                </w:tcPr>
                <w:p>
                  <w:pPr>
                    <w:spacing w:before="156" w:beforeLines="5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综合办</w:t>
                  </w:r>
                </w:p>
              </w:tc>
              <w:tc>
                <w:tcPr>
                  <w:tcW w:w="0" w:type="auto"/>
                  <w:vAlign w:val="top"/>
                </w:tcPr>
                <w:p>
                  <w:pPr>
                    <w:spacing w:before="156" w:beforeLines="5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93%</w:t>
                  </w:r>
                </w:p>
              </w:tc>
            </w:tr>
          </w:tbl>
          <w:p>
            <w:pPr>
              <w:pStyle w:val="6"/>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6"/>
              <w:rPr>
                <w:rFonts w:hint="eastAsia"/>
                <w:u w:val="single"/>
              </w:rPr>
            </w:pPr>
          </w:p>
          <w:p>
            <w:pPr>
              <w:rPr>
                <w:rFonts w:hint="default" w:eastAsia="宋体"/>
                <w:highlight w:val="cyan"/>
                <w:lang w:val="en-US" w:eastAsia="zh-CN"/>
              </w:rPr>
            </w:pPr>
            <w:r>
              <w:rPr>
                <w:rFonts w:hint="eastAsia"/>
              </w:rPr>
              <w:t>建筑面积</w:t>
            </w:r>
            <w:r>
              <w:rPr>
                <w:rFonts w:hint="eastAsia"/>
                <w:u w:val="single"/>
              </w:rPr>
              <w:t xml:space="preserve"> </w:t>
            </w:r>
            <w:r>
              <w:rPr>
                <w:rFonts w:hint="eastAsia"/>
                <w:u w:val="single"/>
                <w:lang w:val="en-US" w:eastAsia="zh-CN"/>
              </w:rPr>
              <w:t xml:space="preserve">11072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原料</w:t>
            </w:r>
            <w:r>
              <w:rPr>
                <w:rFonts w:hint="eastAsia"/>
              </w:rPr>
              <w:t>库房</w:t>
            </w:r>
            <w:r>
              <w:rPr>
                <w:rFonts w:hint="eastAsia"/>
                <w:u w:val="single"/>
              </w:rPr>
              <w:t xml:space="preserve"> </w:t>
            </w:r>
            <w:r>
              <w:rPr>
                <w:rFonts w:hint="eastAsia"/>
                <w:u w:val="single"/>
                <w:lang w:val="en-US" w:eastAsia="zh-CN"/>
              </w:rPr>
              <w:t>1</w:t>
            </w:r>
            <w:r>
              <w:rPr>
                <w:rFonts w:hint="eastAsia"/>
              </w:rPr>
              <w:t>个；</w:t>
            </w:r>
            <w:r>
              <w:rPr>
                <w:rFonts w:hint="eastAsia"/>
                <w:lang w:val="en-US" w:eastAsia="zh-CN"/>
              </w:rPr>
              <w:t>检验室</w:t>
            </w:r>
            <w:r>
              <w:rPr>
                <w:rFonts w:hint="eastAsia"/>
                <w:u w:val="single"/>
                <w:lang w:val="en-US" w:eastAsia="zh-CN"/>
              </w:rPr>
              <w:t>1</w:t>
            </w:r>
            <w:r>
              <w:rPr>
                <w:rFonts w:hint="eastAsia"/>
                <w:lang w:val="en-US" w:eastAsia="zh-CN"/>
              </w:rPr>
              <w:t>个；冷冻冷藏库</w:t>
            </w:r>
            <w:r>
              <w:rPr>
                <w:rFonts w:hint="eastAsia"/>
                <w:u w:val="single"/>
                <w:lang w:val="en-US" w:eastAsia="zh-CN"/>
              </w:rPr>
              <w:t>4</w:t>
            </w:r>
            <w:r>
              <w:rPr>
                <w:rFonts w:hint="eastAsia"/>
                <w:lang w:val="en-US" w:eastAsia="zh-CN"/>
              </w:rPr>
              <w:t>个</w:t>
            </w:r>
          </w:p>
          <w:p>
            <w:pPr>
              <w:rPr>
                <w:u w:val="single"/>
              </w:rPr>
            </w:pPr>
            <w:r>
              <w:rPr>
                <w:rFonts w:hint="eastAsia"/>
              </w:rPr>
              <w:t>主要设备有：</w:t>
            </w:r>
            <w:r>
              <w:rPr>
                <w:rFonts w:hint="eastAsia"/>
                <w:u w:val="single"/>
              </w:rPr>
              <w:t xml:space="preserve">  黑鱼去鳞机</w:t>
            </w:r>
            <w:r>
              <w:rPr>
                <w:rFonts w:hint="eastAsia"/>
                <w:u w:val="single"/>
                <w:lang w:eastAsia="zh-CN"/>
              </w:rPr>
              <w:t>、三枚去骨开片机、真空包装机、金属探测仪</w:t>
            </w:r>
            <w:r>
              <w:rPr>
                <w:rFonts w:hint="eastAsia"/>
                <w:u w:val="single"/>
              </w:rPr>
              <w:t xml:space="preserve"> （列举2~4种）</w:t>
            </w:r>
          </w:p>
          <w:p>
            <w:pPr>
              <w:pStyle w:val="6"/>
              <w:rPr>
                <w:rFonts w:hint="eastAsia"/>
                <w:u w:val="single"/>
              </w:rPr>
            </w:pP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电梯</w:t>
            </w:r>
            <w:r>
              <w:rPr>
                <w:rFonts w:hint="eastAsia"/>
                <w:lang w:val="en-US" w:eastAsia="zh-CN"/>
              </w:rPr>
              <w:t xml:space="preserve">  </w:t>
            </w:r>
            <w:r>
              <w:rPr>
                <w:rFonts w:hint="eastAsia"/>
              </w:rPr>
              <w:sym w:font="Wingdings 2" w:char="00A3"/>
            </w:r>
            <w:r>
              <w:rPr>
                <w:rFonts w:hint="eastAsia"/>
              </w:rPr>
              <w:t xml:space="preserve">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rPr>
                <w:strike/>
                <w:dstrike w:val="0"/>
              </w:rPr>
            </w:pPr>
            <w:r>
              <w:rPr>
                <w:rFonts w:hint="eastAsia"/>
                <w:strike/>
                <w:dstrike w:val="0"/>
              </w:rPr>
              <w:t>若受审核方</w:t>
            </w:r>
            <w:r>
              <w:rPr>
                <w:strike/>
                <w:dstrike w:val="0"/>
              </w:rPr>
              <w:t>使用外部建立的FSMS要素建立其FSMS时，应确保所提供的要素为：</w:t>
            </w:r>
          </w:p>
          <w:p>
            <w:pPr>
              <w:shd w:val="clear" w:color="auto" w:fill="F4B8FF"/>
              <w:rPr>
                <w:strike/>
                <w:dstrike w:val="0"/>
              </w:rPr>
            </w:pPr>
            <w:r>
              <w:rPr>
                <w:strike/>
                <w:dstrike w:val="0"/>
              </w:rPr>
              <w:t>a） 以符合</w:t>
            </w:r>
            <w:r>
              <w:rPr>
                <w:rFonts w:hint="eastAsia"/>
                <w:strike/>
                <w:dstrike w:val="0"/>
              </w:rPr>
              <w:t>ISO22000</w:t>
            </w:r>
            <w:r>
              <w:rPr>
                <w:strike/>
                <w:dstrike w:val="0"/>
              </w:rPr>
              <w:t>标准要求的方式建立；</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r>
              <w:rPr>
                <w:rFonts w:hint="eastAsia"/>
                <w:strike/>
                <w:dstrike w:val="0"/>
              </w:rPr>
              <w:t xml:space="preserve">    </w:t>
            </w:r>
          </w:p>
          <w:p>
            <w:pPr>
              <w:shd w:val="clear" w:color="auto" w:fill="F4B8FF"/>
              <w:rPr>
                <w:strike/>
                <w:dstrike w:val="0"/>
              </w:rPr>
            </w:pPr>
            <w:r>
              <w:rPr>
                <w:strike/>
                <w:dstrike w:val="0"/>
              </w:rPr>
              <w:t>b） 适用于</w:t>
            </w:r>
            <w:r>
              <w:rPr>
                <w:rFonts w:hint="eastAsia"/>
                <w:strike/>
                <w:dstrike w:val="0"/>
              </w:rPr>
              <w:t>受审核方</w:t>
            </w:r>
            <w:r>
              <w:rPr>
                <w:strike/>
                <w:dstrike w:val="0"/>
              </w:rPr>
              <w:t>的场所、过程和产品；</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r>
              <w:rPr>
                <w:rFonts w:hint="eastAsia"/>
                <w:strike/>
                <w:dstrike w:val="0"/>
              </w:rPr>
              <w:t xml:space="preserve"> </w:t>
            </w:r>
          </w:p>
          <w:p>
            <w:pPr>
              <w:shd w:val="clear" w:color="auto" w:fill="F4B8FF"/>
              <w:rPr>
                <w:strike/>
                <w:dstrike w:val="0"/>
              </w:rPr>
            </w:pPr>
            <w:r>
              <w:rPr>
                <w:strike/>
                <w:dstrike w:val="0"/>
              </w:rPr>
              <w:t xml:space="preserve">c） </w:t>
            </w:r>
            <w:r>
              <w:rPr>
                <w:rFonts w:hint="eastAsia"/>
                <w:strike/>
                <w:dstrike w:val="0"/>
              </w:rPr>
              <w:t>由</w:t>
            </w:r>
            <w:r>
              <w:rPr>
                <w:strike/>
                <w:dstrike w:val="0"/>
              </w:rPr>
              <w:t>食品安全小组</w:t>
            </w:r>
            <w:r>
              <w:rPr>
                <w:rFonts w:hint="eastAsia"/>
                <w:strike/>
                <w:dstrike w:val="0"/>
              </w:rPr>
              <w:t>调整其与</w:t>
            </w:r>
            <w:r>
              <w:rPr>
                <w:strike/>
                <w:dstrike w:val="0"/>
              </w:rPr>
              <w:t>组织的工艺和产品相适应；</w:t>
            </w:r>
            <w:r>
              <w:rPr>
                <w:rFonts w:hint="eastAsia"/>
                <w:strike/>
                <w:dstrike w:val="0"/>
              </w:rPr>
              <w:sym w:font="Wingdings 2" w:char="00A3"/>
            </w:r>
            <w:r>
              <w:rPr>
                <w:rFonts w:hint="eastAsia"/>
                <w:strike/>
                <w:dstrike w:val="0"/>
              </w:rPr>
              <w:t>是   □否，说明：</w:t>
            </w:r>
            <w:r>
              <w:rPr>
                <w:rFonts w:hint="eastAsia"/>
                <w:strike/>
                <w:dstrike w:val="0"/>
                <w:u w:val="single"/>
              </w:rPr>
              <w:t xml:space="preserve">             </w:t>
            </w:r>
            <w:r>
              <w:rPr>
                <w:rFonts w:hint="eastAsia"/>
                <w:strike/>
                <w:dstrike w:val="0"/>
              </w:rPr>
              <w:t xml:space="preserve"> </w:t>
            </w:r>
          </w:p>
          <w:p>
            <w:pPr>
              <w:shd w:val="clear" w:color="auto" w:fill="F4B8FF"/>
              <w:rPr>
                <w:strike/>
                <w:dstrike w:val="0"/>
              </w:rPr>
            </w:pPr>
            <w:r>
              <w:rPr>
                <w:strike/>
                <w:dstrike w:val="0"/>
              </w:rPr>
              <w:t>d） 按</w:t>
            </w:r>
            <w:r>
              <w:rPr>
                <w:rFonts w:hint="eastAsia"/>
                <w:strike/>
                <w:dstrike w:val="0"/>
              </w:rPr>
              <w:t>ISO22000</w:t>
            </w:r>
            <w:r>
              <w:rPr>
                <w:strike/>
                <w:dstrike w:val="0"/>
              </w:rPr>
              <w:t>标准要求实施、保持和更新；</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p>
          <w:p>
            <w:pPr>
              <w:shd w:val="clear" w:color="auto" w:fill="F4B8FF"/>
              <w:rPr>
                <w:u w:val="single"/>
              </w:rPr>
            </w:pPr>
            <w:r>
              <w:rPr>
                <w:strike/>
                <w:dstrike w:val="0"/>
              </w:rPr>
              <w:t>e） 作为文件信息保留。</w:t>
            </w:r>
            <w:r>
              <w:rPr>
                <w:rFonts w:hint="eastAsia"/>
                <w:strike/>
                <w:dstrike w:val="0"/>
              </w:rPr>
              <w:t xml:space="preserve">                            </w:t>
            </w:r>
            <w:r>
              <w:rPr>
                <w:rFonts w:hint="eastAsia"/>
                <w:strike/>
                <w:dstrike w:val="0"/>
              </w:rPr>
              <w:sym w:font="Wingdings 2" w:char="00A3"/>
            </w:r>
            <w:r>
              <w:rPr>
                <w:rFonts w:hint="eastAsia"/>
                <w:strike/>
                <w:dstrike w:val="0"/>
              </w:rPr>
              <w:t>是   □否，说明：</w:t>
            </w:r>
            <w:r>
              <w:rPr>
                <w:rFonts w:hint="eastAsia"/>
                <w:strike/>
                <w:dstrike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rFonts w:hint="eastAsia"/>
                <w:szCs w:val="21"/>
                <w:highlight w:val="none"/>
              </w:rPr>
              <w:t>家</w:t>
            </w:r>
            <w:r>
              <w:rPr>
                <w:rFonts w:hint="eastAsia"/>
                <w:szCs w:val="21"/>
                <w:highlight w:val="none"/>
                <w:lang w:val="en-US" w:eastAsia="zh-CN"/>
              </w:rPr>
              <w:t>,</w:t>
            </w:r>
            <w:r>
              <w:rPr>
                <w:rFonts w:hint="eastAsia"/>
                <w:szCs w:val="20"/>
                <w:highlight w:val="none"/>
                <w:u w:val="single"/>
                <w:lang w:val="en-US" w:eastAsia="zh-CN"/>
              </w:rPr>
              <w:t xml:space="preserve">未将厨余垃圾清运、食用酒精列入合格供方名单，已现场沟通 </w:t>
            </w:r>
            <w:r>
              <w:rPr>
                <w:rFonts w:hint="eastAsia"/>
                <w:szCs w:val="21"/>
                <w:highlight w:val="none"/>
              </w:rPr>
              <w:t>，例如：</w:t>
            </w:r>
          </w:p>
          <w:p>
            <w:pPr>
              <w:widowControl/>
              <w:numPr>
                <w:ilvl w:val="0"/>
                <w:numId w:val="2"/>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主要原材料的供方——</w:t>
            </w:r>
            <w:r>
              <w:rPr>
                <w:rFonts w:hint="eastAsia"/>
                <w:color w:val="0000FF"/>
                <w:szCs w:val="21"/>
                <w:highlight w:val="none"/>
                <w:lang w:val="en-US" w:eastAsia="zh-CN"/>
              </w:rPr>
              <w:t>黑鱼（ 杭州深海之链供应链管理有限公司）、</w:t>
            </w:r>
            <w:r>
              <w:rPr>
                <w:rFonts w:hint="eastAsia"/>
                <w:highlight w:val="none"/>
              </w:rPr>
              <w:t>桂鱼、鲈鱼</w:t>
            </w:r>
            <w:r>
              <w:rPr>
                <w:rFonts w:hint="eastAsia"/>
                <w:color w:val="0000FF"/>
                <w:szCs w:val="21"/>
                <w:highlight w:val="none"/>
                <w:lang w:val="en-US" w:eastAsia="zh-CN"/>
              </w:rPr>
              <w:t>（</w:t>
            </w:r>
            <w:r>
              <w:rPr>
                <w:rFonts w:hint="eastAsia"/>
                <w:highlight w:val="none"/>
              </w:rPr>
              <w:t>吴兴宏</w:t>
            </w:r>
            <w:r>
              <w:rPr>
                <w:highlight w:val="none"/>
              </w:rPr>
              <w:t>鲲</w:t>
            </w:r>
            <w:r>
              <w:rPr>
                <w:rFonts w:hint="eastAsia"/>
                <w:highlight w:val="none"/>
              </w:rPr>
              <w:t>家庭农场</w:t>
            </w:r>
            <w:r>
              <w:rPr>
                <w:rFonts w:hint="eastAsia"/>
                <w:color w:val="0000FF"/>
                <w:szCs w:val="21"/>
                <w:highlight w:val="none"/>
                <w:lang w:val="en-US" w:eastAsia="zh-CN"/>
              </w:rPr>
              <w:t>）</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 xml:space="preserve"> </w:t>
            </w:r>
            <w:r>
              <w:rPr>
                <w:rFonts w:hint="eastAsia"/>
                <w:highlight w:val="none"/>
              </w:rPr>
              <w:t>去腥剂</w:t>
            </w:r>
            <w:r>
              <w:rPr>
                <w:rFonts w:hint="eastAsia"/>
                <w:highlight w:val="none"/>
                <w:lang w:eastAsia="zh-CN"/>
              </w:rPr>
              <w:t>（</w:t>
            </w:r>
            <w:r>
              <w:rPr>
                <w:rFonts w:hint="eastAsia"/>
                <w:highlight w:val="none"/>
                <w:lang w:val="en-US" w:eastAsia="zh-CN"/>
              </w:rPr>
              <w:t>紫苏汁</w:t>
            </w:r>
            <w:r>
              <w:rPr>
                <w:rFonts w:hint="eastAsia"/>
                <w:highlight w:val="none"/>
                <w:lang w:eastAsia="zh-CN"/>
              </w:rPr>
              <w:t>）</w:t>
            </w:r>
            <w:r>
              <w:rPr>
                <w:rFonts w:hint="eastAsia"/>
                <w:color w:val="0000FF"/>
                <w:szCs w:val="21"/>
                <w:highlight w:val="none"/>
                <w:lang w:val="en-US" w:eastAsia="zh-CN"/>
              </w:rPr>
              <w:t>（</w:t>
            </w:r>
            <w:r>
              <w:rPr>
                <w:rFonts w:hint="eastAsia"/>
                <w:highlight w:val="none"/>
              </w:rPr>
              <w:t>浙江世紫生物科技有限公司</w:t>
            </w:r>
            <w:r>
              <w:rPr>
                <w:rFonts w:hint="eastAsia"/>
                <w:color w:val="0000FF"/>
                <w:szCs w:val="21"/>
                <w:highlight w:val="none"/>
                <w:lang w:val="en-US" w:eastAsia="zh-CN"/>
              </w:rPr>
              <w:t>）</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rPr>
              <w:t>鱼片盒</w:t>
            </w:r>
            <w:r>
              <w:rPr>
                <w:rFonts w:hint="eastAsia"/>
                <w:highlight w:val="none"/>
                <w:lang w:eastAsia="zh-CN"/>
              </w:rPr>
              <w:t>、</w:t>
            </w:r>
            <w:r>
              <w:rPr>
                <w:rFonts w:hint="eastAsia"/>
                <w:highlight w:val="none"/>
                <w:lang w:val="en-US" w:eastAsia="zh-CN"/>
              </w:rPr>
              <w:t>吸塑食品包装托（苏州金益达塑业有限公司）、（一年采购一次，审核周期内未采购）</w:t>
            </w:r>
          </w:p>
          <w:p>
            <w:pPr>
              <w:pStyle w:val="10"/>
              <w:ind w:left="0" w:leftChars="0" w:firstLine="422" w:firstLineChars="200"/>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其他——</w:t>
            </w:r>
            <w:r>
              <w:rPr>
                <w:rFonts w:hint="eastAsia" w:cs="Times New Roman"/>
                <w:color w:val="0000FF"/>
                <w:kern w:val="2"/>
                <w:sz w:val="21"/>
                <w:szCs w:val="21"/>
                <w:highlight w:val="none"/>
                <w:lang w:val="en-US" w:eastAsia="zh-CN" w:bidi="ar-SA"/>
              </w:rPr>
              <w:t>食品添加剂：</w:t>
            </w:r>
            <w:r>
              <w:rPr>
                <w:rFonts w:hint="eastAsia"/>
                <w:highlight w:val="none"/>
              </w:rPr>
              <w:t>复合保水剂、异VC钠、肉质改良剂B</w:t>
            </w:r>
            <w:r>
              <w:rPr>
                <w:rFonts w:hint="eastAsia" w:ascii="Times New Roman" w:hAnsi="Times New Roman" w:eastAsia="宋体" w:cs="Times New Roman"/>
                <w:color w:val="0000FF"/>
                <w:kern w:val="2"/>
                <w:sz w:val="21"/>
                <w:szCs w:val="21"/>
                <w:highlight w:val="none"/>
                <w:lang w:val="en-US" w:eastAsia="zh-CN" w:bidi="ar-SA"/>
              </w:rPr>
              <w:t>（</w:t>
            </w:r>
            <w:r>
              <w:rPr>
                <w:rFonts w:hint="eastAsia"/>
                <w:highlight w:val="none"/>
              </w:rPr>
              <w:t>河南省所以化工有限公司</w:t>
            </w:r>
            <w:r>
              <w:rPr>
                <w:rFonts w:hint="eastAsia" w:ascii="Times New Roman" w:hAnsi="Times New Roman" w:eastAsia="宋体" w:cs="Times New Roman"/>
                <w:color w:val="0000FF"/>
                <w:kern w:val="2"/>
                <w:sz w:val="21"/>
                <w:szCs w:val="21"/>
                <w:highlight w:val="none"/>
                <w:lang w:val="en-US" w:eastAsia="zh-CN" w:bidi="ar-SA"/>
              </w:rPr>
              <w:t>）</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highlight w:val="none"/>
                <w:u w:val="single"/>
                <w:lang w:val="en-US" w:eastAsia="zh-CN"/>
              </w:rPr>
              <w:t>电梯维保</w:t>
            </w:r>
            <w:r>
              <w:rPr>
                <w:rFonts w:hint="eastAsia"/>
                <w:highlight w:val="none"/>
                <w:lang w:val="en-US" w:eastAsia="zh-CN"/>
              </w:rPr>
              <w:t>的供方</w:t>
            </w:r>
            <w:r>
              <w:rPr>
                <w:rFonts w:hint="eastAsia"/>
                <w:highlight w:val="none"/>
                <w:u w:val="single"/>
                <w:lang w:val="en-US" w:eastAsia="zh-CN"/>
              </w:rPr>
              <w:t xml:space="preserve"> 安川双菱电梯有限公司</w:t>
            </w:r>
          </w:p>
          <w:p>
            <w:pPr>
              <w:widowControl/>
              <w:numPr>
                <w:ilvl w:val="0"/>
                <w:numId w:val="2"/>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010"/>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highlight w:val="none"/>
                    </w:rPr>
                  </w:pPr>
                  <w:r>
                    <w:rPr>
                      <w:rFonts w:hint="eastAsia"/>
                      <w:highlight w:val="none"/>
                    </w:rPr>
                    <w:t>岗位</w:t>
                  </w:r>
                </w:p>
              </w:tc>
              <w:tc>
                <w:tcPr>
                  <w:tcW w:w="1110" w:type="dxa"/>
                </w:tcPr>
                <w:p>
                  <w:r>
                    <w:rPr>
                      <w:rFonts w:hint="eastAsia"/>
                    </w:rPr>
                    <w:t>姓氏</w:t>
                  </w:r>
                </w:p>
              </w:tc>
              <w:tc>
                <w:tcPr>
                  <w:tcW w:w="2010" w:type="dxa"/>
                </w:tcPr>
                <w:p>
                  <w:r>
                    <w:rPr>
                      <w:rFonts w:hint="eastAsia"/>
                    </w:rPr>
                    <w:t>健康证编号</w:t>
                  </w:r>
                </w:p>
              </w:tc>
              <w:tc>
                <w:tcPr>
                  <w:tcW w:w="1810" w:type="dxa"/>
                </w:tcPr>
                <w:p>
                  <w:r>
                    <w:rPr>
                      <w:rFonts w:hint="eastAsia"/>
                    </w:rPr>
                    <w:t>有效期截止日期</w:t>
                  </w:r>
                </w:p>
              </w:tc>
              <w:tc>
                <w:tcPr>
                  <w:tcW w:w="1240"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default" w:eastAsia="宋体"/>
                      <w:highlight w:val="none"/>
                      <w:lang w:val="en-US" w:eastAsia="zh-CN"/>
                    </w:rPr>
                  </w:pPr>
                  <w:r>
                    <w:rPr>
                      <w:rFonts w:hint="eastAsia"/>
                      <w:highlight w:val="none"/>
                      <w:lang w:val="en-US" w:eastAsia="zh-CN"/>
                    </w:rPr>
                    <w:t>综合办经理兼食品安全小组组长</w:t>
                  </w:r>
                </w:p>
              </w:tc>
              <w:tc>
                <w:tcPr>
                  <w:tcW w:w="1110" w:type="dxa"/>
                </w:tcPr>
                <w:p>
                  <w:pPr>
                    <w:rPr>
                      <w:rFonts w:hint="default" w:eastAsia="宋体"/>
                      <w:lang w:val="en-US" w:eastAsia="zh-CN"/>
                    </w:rPr>
                  </w:pPr>
                  <w:r>
                    <w:rPr>
                      <w:rFonts w:hint="eastAsia"/>
                      <w:lang w:val="en-US" w:eastAsia="zh-CN"/>
                    </w:rPr>
                    <w:t>吴翔</w:t>
                  </w:r>
                </w:p>
              </w:tc>
              <w:tc>
                <w:tcPr>
                  <w:tcW w:w="2010" w:type="dxa"/>
                </w:tcPr>
                <w:p>
                  <w:pPr>
                    <w:rPr>
                      <w:rFonts w:hint="default" w:eastAsia="宋体"/>
                      <w:lang w:val="en-US" w:eastAsia="zh-CN"/>
                    </w:rPr>
                  </w:pPr>
                  <w:r>
                    <w:rPr>
                      <w:rFonts w:hint="eastAsia"/>
                      <w:lang w:val="en-US" w:eastAsia="zh-CN"/>
                    </w:rPr>
                    <w:t>8206012022002245</w:t>
                  </w:r>
                </w:p>
              </w:tc>
              <w:tc>
                <w:tcPr>
                  <w:tcW w:w="1810" w:type="dxa"/>
                </w:tcPr>
                <w:p>
                  <w:pPr>
                    <w:rPr>
                      <w:rFonts w:hint="default" w:eastAsia="宋体"/>
                      <w:lang w:val="en-US" w:eastAsia="zh-CN"/>
                    </w:rPr>
                  </w:pPr>
                  <w:r>
                    <w:rPr>
                      <w:rFonts w:hint="eastAsia"/>
                      <w:lang w:val="en-US" w:eastAsia="zh-CN"/>
                    </w:rPr>
                    <w:t>2023-07-08</w:t>
                  </w:r>
                </w:p>
              </w:tc>
              <w:tc>
                <w:tcPr>
                  <w:tcW w:w="124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default" w:eastAsia="宋体"/>
                      <w:highlight w:val="none"/>
                      <w:lang w:val="en-US" w:eastAsia="zh-CN"/>
                    </w:rPr>
                  </w:pPr>
                  <w:r>
                    <w:rPr>
                      <w:rFonts w:hint="eastAsia"/>
                      <w:highlight w:val="none"/>
                      <w:lang w:val="en-US" w:eastAsia="zh-CN"/>
                    </w:rPr>
                    <w:t>质技部经理</w:t>
                  </w:r>
                </w:p>
              </w:tc>
              <w:tc>
                <w:tcPr>
                  <w:tcW w:w="1110" w:type="dxa"/>
                </w:tcPr>
                <w:p>
                  <w:pPr>
                    <w:rPr>
                      <w:rFonts w:hint="default" w:eastAsia="宋体"/>
                      <w:lang w:val="en-US" w:eastAsia="zh-CN"/>
                    </w:rPr>
                  </w:pPr>
                  <w:r>
                    <w:rPr>
                      <w:rFonts w:hint="eastAsia"/>
                      <w:lang w:val="en-US" w:eastAsia="zh-CN"/>
                    </w:rPr>
                    <w:t>王晨怡</w:t>
                  </w:r>
                </w:p>
              </w:tc>
              <w:tc>
                <w:tcPr>
                  <w:tcW w:w="2010" w:type="dxa"/>
                </w:tcPr>
                <w:p>
                  <w:pPr>
                    <w:rPr>
                      <w:rFonts w:hint="default" w:eastAsia="宋体"/>
                      <w:lang w:val="en-US" w:eastAsia="zh-CN"/>
                    </w:rPr>
                  </w:pPr>
                  <w:r>
                    <w:rPr>
                      <w:rFonts w:hint="eastAsia"/>
                      <w:lang w:val="en-US" w:eastAsia="zh-CN"/>
                    </w:rPr>
                    <w:t>8206012022002352</w:t>
                  </w:r>
                </w:p>
              </w:tc>
              <w:tc>
                <w:tcPr>
                  <w:tcW w:w="1810" w:type="dxa"/>
                </w:tcPr>
                <w:p>
                  <w:pPr>
                    <w:rPr>
                      <w:rFonts w:hint="default" w:eastAsia="宋体"/>
                      <w:lang w:val="en-US" w:eastAsia="zh-CN"/>
                    </w:rPr>
                  </w:pPr>
                  <w:r>
                    <w:rPr>
                      <w:rFonts w:hint="eastAsia"/>
                      <w:lang w:val="en-US" w:eastAsia="zh-CN"/>
                    </w:rPr>
                    <w:t>2023-07-26</w:t>
                  </w:r>
                </w:p>
              </w:tc>
              <w:tc>
                <w:tcPr>
                  <w:tcW w:w="124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default" w:eastAsia="宋体"/>
                      <w:highlight w:val="none"/>
                      <w:lang w:val="en-US" w:eastAsia="zh-CN"/>
                    </w:rPr>
                  </w:pPr>
                  <w:r>
                    <w:rPr>
                      <w:rFonts w:hint="eastAsia"/>
                      <w:highlight w:val="none"/>
                      <w:lang w:val="en-US" w:eastAsia="zh-CN"/>
                    </w:rPr>
                    <w:t>操作工</w:t>
                  </w:r>
                </w:p>
              </w:tc>
              <w:tc>
                <w:tcPr>
                  <w:tcW w:w="1110" w:type="dxa"/>
                </w:tcPr>
                <w:p>
                  <w:pPr>
                    <w:rPr>
                      <w:rFonts w:hint="default" w:eastAsia="宋体"/>
                      <w:lang w:val="en-US" w:eastAsia="zh-CN"/>
                    </w:rPr>
                  </w:pPr>
                  <w:r>
                    <w:rPr>
                      <w:rFonts w:hint="eastAsia"/>
                      <w:lang w:val="en-US" w:eastAsia="zh-CN"/>
                    </w:rPr>
                    <w:t>施月毛</w:t>
                  </w:r>
                </w:p>
              </w:tc>
              <w:tc>
                <w:tcPr>
                  <w:tcW w:w="2010" w:type="dxa"/>
                </w:tcPr>
                <w:p>
                  <w:pPr>
                    <w:rPr>
                      <w:rFonts w:hint="default" w:eastAsia="宋体"/>
                      <w:lang w:val="en-US" w:eastAsia="zh-CN"/>
                    </w:rPr>
                  </w:pPr>
                  <w:r>
                    <w:rPr>
                      <w:rFonts w:hint="eastAsia"/>
                      <w:lang w:val="en-US" w:eastAsia="zh-CN"/>
                    </w:rPr>
                    <w:t>8206012022002784</w:t>
                  </w:r>
                </w:p>
              </w:tc>
              <w:tc>
                <w:tcPr>
                  <w:tcW w:w="1810" w:type="dxa"/>
                </w:tcPr>
                <w:p>
                  <w:pPr>
                    <w:rPr>
                      <w:rFonts w:hint="default" w:eastAsia="宋体"/>
                      <w:lang w:val="en-US" w:eastAsia="zh-CN"/>
                    </w:rPr>
                  </w:pPr>
                  <w:r>
                    <w:rPr>
                      <w:rFonts w:hint="eastAsia"/>
                      <w:lang w:val="en-US" w:eastAsia="zh-CN"/>
                    </w:rPr>
                    <w:t>2023-10-20</w:t>
                  </w:r>
                </w:p>
              </w:tc>
              <w:tc>
                <w:tcPr>
                  <w:tcW w:w="124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eastAsia="宋体"/>
                      <w:highlight w:val="none"/>
                      <w:lang w:val="en-US" w:eastAsia="zh-CN"/>
                    </w:rPr>
                  </w:pPr>
                  <w:r>
                    <w:rPr>
                      <w:rFonts w:hint="eastAsia"/>
                      <w:highlight w:val="none"/>
                      <w:lang w:val="en-US" w:eastAsia="zh-CN"/>
                    </w:rPr>
                    <w:t>操作工</w:t>
                  </w:r>
                </w:p>
              </w:tc>
              <w:tc>
                <w:tcPr>
                  <w:tcW w:w="1110" w:type="dxa"/>
                </w:tcPr>
                <w:p>
                  <w:pPr>
                    <w:rPr>
                      <w:rFonts w:hint="default" w:eastAsia="宋体"/>
                      <w:lang w:val="en-US" w:eastAsia="zh-CN"/>
                    </w:rPr>
                  </w:pPr>
                  <w:r>
                    <w:rPr>
                      <w:rFonts w:hint="eastAsia"/>
                      <w:lang w:val="en-US" w:eastAsia="zh-CN"/>
                    </w:rPr>
                    <w:t>朱根勤</w:t>
                  </w:r>
                </w:p>
              </w:tc>
              <w:tc>
                <w:tcPr>
                  <w:tcW w:w="2010" w:type="dxa"/>
                </w:tcPr>
                <w:p>
                  <w:pPr>
                    <w:rPr>
                      <w:rFonts w:hint="default" w:eastAsia="宋体"/>
                      <w:lang w:val="en-US" w:eastAsia="zh-CN"/>
                    </w:rPr>
                  </w:pPr>
                  <w:r>
                    <w:rPr>
                      <w:rFonts w:hint="eastAsia"/>
                      <w:lang w:val="en-US" w:eastAsia="zh-CN"/>
                    </w:rPr>
                    <w:t>8206012022002785</w:t>
                  </w:r>
                </w:p>
              </w:tc>
              <w:tc>
                <w:tcPr>
                  <w:tcW w:w="1810" w:type="dxa"/>
                </w:tcPr>
                <w:p>
                  <w:pPr>
                    <w:rPr>
                      <w:rFonts w:hint="default" w:eastAsia="宋体"/>
                      <w:lang w:val="en-US" w:eastAsia="zh-CN"/>
                    </w:rPr>
                  </w:pPr>
                  <w:r>
                    <w:rPr>
                      <w:rFonts w:hint="eastAsia"/>
                      <w:lang w:val="en-US" w:eastAsia="zh-CN"/>
                    </w:rPr>
                    <w:t>2023-10-20</w:t>
                  </w:r>
                </w:p>
              </w:tc>
              <w:tc>
                <w:tcPr>
                  <w:tcW w:w="124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highlight w:val="none"/>
                      <w:lang w:val="en-US" w:eastAsia="zh-CN"/>
                    </w:rPr>
                  </w:pPr>
                  <w:r>
                    <w:rPr>
                      <w:rFonts w:hint="eastAsia"/>
                      <w:highlight w:val="none"/>
                      <w:lang w:val="en-US" w:eastAsia="zh-CN"/>
                    </w:rPr>
                    <w:t>操作工</w:t>
                  </w:r>
                </w:p>
              </w:tc>
              <w:tc>
                <w:tcPr>
                  <w:tcW w:w="1110" w:type="dxa"/>
                </w:tcPr>
                <w:p>
                  <w:pPr>
                    <w:rPr>
                      <w:rFonts w:hint="default"/>
                      <w:lang w:val="en-US" w:eastAsia="zh-CN"/>
                    </w:rPr>
                  </w:pPr>
                  <w:r>
                    <w:rPr>
                      <w:rFonts w:hint="eastAsia"/>
                      <w:lang w:val="en-US" w:eastAsia="zh-CN"/>
                    </w:rPr>
                    <w:t>曹水福</w:t>
                  </w:r>
                </w:p>
              </w:tc>
              <w:tc>
                <w:tcPr>
                  <w:tcW w:w="2010" w:type="dxa"/>
                </w:tcPr>
                <w:p>
                  <w:pPr>
                    <w:rPr>
                      <w:rFonts w:hint="default"/>
                      <w:lang w:val="en-US" w:eastAsia="zh-CN"/>
                    </w:rPr>
                  </w:pPr>
                  <w:r>
                    <w:rPr>
                      <w:rFonts w:hint="eastAsia"/>
                      <w:lang w:val="en-US" w:eastAsia="zh-CN"/>
                    </w:rPr>
                    <w:t>8206012022002829</w:t>
                  </w:r>
                </w:p>
              </w:tc>
              <w:tc>
                <w:tcPr>
                  <w:tcW w:w="1810" w:type="dxa"/>
                </w:tcPr>
                <w:p>
                  <w:pPr>
                    <w:rPr>
                      <w:rFonts w:hint="default"/>
                      <w:lang w:val="en-US" w:eastAsia="zh-CN"/>
                    </w:rPr>
                  </w:pPr>
                  <w:r>
                    <w:rPr>
                      <w:rFonts w:hint="eastAsia"/>
                      <w:lang w:val="en-US" w:eastAsia="zh-CN"/>
                    </w:rPr>
                    <w:t>2023-10-28</w:t>
                  </w:r>
                </w:p>
              </w:tc>
              <w:tc>
                <w:tcPr>
                  <w:tcW w:w="1240" w:type="dxa"/>
                </w:tcPr>
                <w:p>
                  <w:pPr>
                    <w:rPr>
                      <w:rFonts w:hint="eastAsia" w:eastAsia="宋体"/>
                      <w:lang w:val="en-US" w:eastAsia="zh-CN"/>
                    </w:rPr>
                  </w:pPr>
                  <w:r>
                    <w:rPr>
                      <w:rFonts w:hint="eastAsia"/>
                      <w:lang w:val="en-US" w:eastAsia="zh-CN"/>
                    </w:rPr>
                    <w:t>有效</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质技部</w:t>
            </w:r>
            <w:r>
              <w:rPr>
                <w:rFonts w:hint="eastAsia"/>
                <w:highlight w:val="none"/>
              </w:rPr>
              <w:t>人员、☑</w:t>
            </w:r>
            <w:r>
              <w:rPr>
                <w:rFonts w:hint="eastAsia"/>
                <w:highlight w:val="none"/>
                <w:lang w:val="en-US" w:eastAsia="zh-CN"/>
              </w:rPr>
              <w:t>综合办</w:t>
            </w:r>
            <w:r>
              <w:rPr>
                <w:rFonts w:hint="eastAsia"/>
                <w:highlight w:val="none"/>
              </w:rPr>
              <w:t>人员、</w:t>
            </w:r>
            <w:r>
              <w:rPr>
                <w:rFonts w:hint="eastAsia"/>
                <w:highlight w:val="none"/>
              </w:rPr>
              <w:sym w:font="Wingdings" w:char="00A8"/>
            </w:r>
            <w:r>
              <w:rPr>
                <w:rFonts w:hint="eastAsia"/>
                <w:highlight w:val="none"/>
                <w:lang w:val="en-US" w:eastAsia="zh-CN"/>
              </w:rPr>
              <w:t>采购</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color w:val="000000"/>
                <w:sz w:val="21"/>
                <w:szCs w:val="21"/>
                <w:u w:val="single"/>
              </w:rPr>
              <w:t>GB 14881-2013 食品安全国家标准 食品生产通用卫生规范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 xml:space="preserve">《前提方案》的内容包括：☑内容全面   </w:t>
            </w:r>
            <w:r>
              <w:rPr>
                <w:rFonts w:hint="eastAsia"/>
              </w:rPr>
              <w:sym w:font="Wingdings" w:char="00A8"/>
            </w:r>
            <w:r>
              <w:rPr>
                <w:rFonts w:hint="eastAsia"/>
              </w:rPr>
              <w:t xml:space="preserve">内容不全面，说明：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default"/>
                <w:lang w:val="en-US" w:eastAsia="zh-CN"/>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rPr>
                <w:rFonts w:hint="eastAsia"/>
              </w:rPr>
            </w:pPr>
            <w:r>
              <w:t>规定PRP的选择、建立、适用的监测和验证的文件化信息。</w:t>
            </w:r>
            <w:r>
              <w:rPr>
                <w:rFonts w:hint="eastAsia"/>
              </w:rPr>
              <w:t xml:space="preserve">       ☑是   </w:t>
            </w:r>
            <w:r>
              <w:rPr>
                <w:rFonts w:hint="eastAsia"/>
              </w:rPr>
              <w:sym w:font="Wingdings" w:char="00A8"/>
            </w:r>
            <w:r>
              <w:rPr>
                <w:rFonts w:hint="eastAsia"/>
              </w:rPr>
              <w:t>否</w:t>
            </w:r>
          </w:p>
          <w:p>
            <w:pPr>
              <w:pStyle w:val="10"/>
              <w:ind w:left="0" w:leftChars="0" w:firstLine="0" w:firstLineChars="0"/>
              <w:rPr>
                <w:rFonts w:hint="default" w:eastAsia="方正仿宋简体"/>
                <w:lang w:val="en-US" w:eastAsia="zh-CN"/>
              </w:rPr>
            </w:pPr>
            <w:r>
              <w:rPr>
                <w:rFonts w:ascii="方正仿宋简体" w:eastAsia="方正仿宋简体"/>
                <w:b/>
                <w:sz w:val="24"/>
              </w:rPr>
              <w:t xml:space="preserve">  </w:t>
            </w:r>
            <w:r>
              <w:rPr>
                <w:rFonts w:hint="eastAsia" w:ascii="方正仿宋简体" w:eastAsia="方正仿宋简体"/>
                <w:b/>
                <w:color w:val="FF0000"/>
                <w:sz w:val="24"/>
              </w:rPr>
              <w:t>查前提方案执行情况时，发现腌制车间显示温度为16.5℃；滚揉车间显示温度为17.6℃；与作业文件</w:t>
            </w:r>
            <w:r>
              <w:rPr>
                <w:rFonts w:hint="eastAsia" w:ascii="方正仿宋简体" w:eastAsia="方正仿宋简体"/>
                <w:b/>
                <w:color w:val="FF0000"/>
                <w:sz w:val="24"/>
                <w:lang w:val="en-US" w:eastAsia="zh-CN"/>
              </w:rPr>
              <w:t>及现场标识</w:t>
            </w:r>
            <w:r>
              <w:rPr>
                <w:rFonts w:hint="eastAsia" w:ascii="方正仿宋简体" w:eastAsia="方正仿宋简体"/>
                <w:b/>
                <w:color w:val="FF0000"/>
                <w:sz w:val="24"/>
              </w:rPr>
              <w:t>规定的0-4℃不一致；</w:t>
            </w:r>
            <w:r>
              <w:rPr>
                <w:rFonts w:hint="eastAsia" w:ascii="方正仿宋简体" w:eastAsia="方正仿宋简体"/>
                <w:b/>
                <w:color w:val="FF0000"/>
                <w:sz w:val="24"/>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F4B8FF"/>
              <w:rPr>
                <w:highlight w:val="none"/>
              </w:rPr>
            </w:pPr>
            <w:r>
              <w:rPr>
                <w:highlight w:val="none"/>
              </w:rPr>
              <w:t>a）唯一地识别来自供应商的来料</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F4B8FF"/>
              <w:rPr>
                <w:highlight w:val="none"/>
              </w:rPr>
            </w:pPr>
            <w:r>
              <w:rPr>
                <w:highlight w:val="none"/>
              </w:rPr>
              <w:t>b）接收物料、配料、中间产品批量与最终产品的关系</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F4B8FF"/>
              <w:rPr>
                <w:rFonts w:hint="eastAsia" w:eastAsia="宋体"/>
                <w:highlight w:val="none"/>
                <w:lang w:eastAsia="zh-CN"/>
              </w:rPr>
            </w:pPr>
            <w:r>
              <w:rPr>
                <w:highlight w:val="none"/>
              </w:rPr>
              <w:t>c）材料/产品的返工</w:t>
            </w:r>
            <w:r>
              <w:rPr>
                <w:rFonts w:hint="eastAsia"/>
                <w:highlight w:val="none"/>
              </w:rPr>
              <w:t xml:space="preserve">                                </w:t>
            </w:r>
            <w:r>
              <w:rPr>
                <w:rFonts w:hint="eastAsia"/>
                <w:highlight w:val="none"/>
                <w:lang w:eastAsia="zh-CN"/>
              </w:rPr>
              <w:t>□</w:t>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F4B8FF"/>
              <w:rPr>
                <w:highlight w:val="none"/>
              </w:rPr>
            </w:pPr>
            <w:r>
              <w:rPr>
                <w:rFonts w:hint="eastAsia"/>
                <w:highlight w:val="none"/>
              </w:rPr>
              <w:t>d）</w:t>
            </w:r>
            <w:r>
              <w:rPr>
                <w:highlight w:val="none"/>
              </w:rPr>
              <w:t>最终产品分销路线的第一阶段。</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fill="F4B8FF"/>
              <w:rPr>
                <w:highlight w:val="none"/>
              </w:rPr>
            </w:pPr>
            <w:r>
              <w:rPr>
                <w:rFonts w:hint="eastAsia"/>
                <w:highlight w:val="none"/>
              </w:rPr>
              <w:t xml:space="preserve">组织的产品保质期为 </w:t>
            </w:r>
            <w:r>
              <w:rPr>
                <w:rFonts w:hint="eastAsia"/>
                <w:highlight w:val="none"/>
                <w:lang w:val="en-US" w:eastAsia="zh-CN"/>
              </w:rPr>
              <w:t>XX</w:t>
            </w:r>
            <w:r>
              <w:rPr>
                <w:rFonts w:hint="eastAsia"/>
                <w:highlight w:val="none"/>
                <w:u w:val="single"/>
                <w:lang w:val="en-US" w:eastAsia="zh-CN"/>
              </w:rPr>
              <w:t>小时； 12</w:t>
            </w:r>
            <w:r>
              <w:rPr>
                <w:rFonts w:hint="eastAsia"/>
                <w:highlight w:val="none"/>
              </w:rPr>
              <w:t>个月；</w:t>
            </w:r>
          </w:p>
          <w:p>
            <w:pPr>
              <w:shd w:val="clear" w:color="auto" w:fill="F4B8FF"/>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lang w:val="en-US" w:eastAsia="zh-CN"/>
              </w:rPr>
              <w:t>24</w:t>
            </w:r>
            <w:r>
              <w:rPr>
                <w:rFonts w:hint="eastAsia"/>
                <w:highlight w:val="none"/>
              </w:rPr>
              <w:t>个月</w:t>
            </w:r>
            <w:r>
              <w:rPr>
                <w:highlight w:val="none"/>
              </w:rPr>
              <w:t>。</w:t>
            </w:r>
          </w:p>
          <w:p>
            <w:pPr>
              <w:shd w:val="clear" w:color="auto" w:fill="F4B8FF"/>
              <w:rPr>
                <w:highlight w:val="none"/>
              </w:rPr>
            </w:pPr>
            <w:r>
              <w:rPr>
                <w:highlight w:val="none"/>
              </w:rPr>
              <w:t>组织</w:t>
            </w: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8</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15 </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p>
          <w:p>
            <w:pPr>
              <w:shd w:val="clear" w:color="auto" w:fill="F4B8FF"/>
              <w:rPr>
                <w:highlight w:val="none"/>
              </w:rPr>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highlight w:val="none"/>
                <w:lang w:val="en-US" w:eastAsia="zh-CN"/>
              </w:rPr>
            </w:pPr>
            <w:r>
              <w:rPr>
                <w:rFonts w:hint="eastAsia"/>
                <w:highlight w:val="none"/>
              </w:rPr>
              <w:t xml:space="preserve">采用的标识方式：☑标签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A8"/>
            </w:r>
            <w:r>
              <w:rPr>
                <w:rFonts w:hint="eastAsia"/>
                <w:highlight w:val="none"/>
                <w:lang w:val="en-US" w:eastAsia="zh-CN"/>
              </w:rPr>
              <w:t xml:space="preserve">周转筐颜色 </w:t>
            </w:r>
            <w:r>
              <w:rPr>
                <w:rFonts w:hint="eastAsia"/>
                <w:highlight w:val="none"/>
              </w:rPr>
              <w:sym w:font="Wingdings" w:char="00A8"/>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FE"/>
            </w:r>
            <w:r>
              <w:rPr>
                <w:rFonts w:hint="eastAsia"/>
                <w:highlight w:val="none"/>
              </w:rPr>
              <w:t>其他</w:t>
            </w:r>
            <w:r>
              <w:rPr>
                <w:rFonts w:hint="eastAsia"/>
                <w:highlight w:val="none"/>
                <w:lang w:eastAsia="zh-CN"/>
              </w:rPr>
              <w:t>—</w:t>
            </w:r>
            <w:r>
              <w:rPr>
                <w:rFonts w:hint="eastAsia"/>
                <w:highlight w:val="none"/>
                <w:lang w:val="en-US" w:eastAsia="zh-CN"/>
              </w:rPr>
              <w:t>标识卡</w:t>
            </w:r>
          </w:p>
          <w:p>
            <w:pPr>
              <w:shd w:val="clear" w:color="auto" w:fill="F4B8FF"/>
              <w:jc w:val="left"/>
              <w:rPr>
                <w:rFonts w:hint="default" w:eastAsia="宋体"/>
                <w:color w:val="FF0000"/>
                <w:highlight w:val="none"/>
                <w:lang w:val="en-US" w:eastAsia="zh-CN"/>
              </w:rPr>
            </w:pPr>
            <w:r>
              <w:rPr>
                <w:rFonts w:hint="eastAsia"/>
                <w:highlight w:val="none"/>
              </w:rPr>
              <w:t>可追溯性实现：</w:t>
            </w:r>
            <w:r>
              <w:rPr>
                <w:rFonts w:hint="eastAsia"/>
                <w:highlight w:val="none"/>
                <w:lang w:eastAsia="zh-CN"/>
              </w:rPr>
              <w:t>□</w:t>
            </w:r>
            <w:r>
              <w:rPr>
                <w:rFonts w:hint="eastAsia"/>
                <w:highlight w:val="none"/>
              </w:rPr>
              <w:t xml:space="preserve">符合要求 </w:t>
            </w:r>
            <w:r>
              <w:rPr>
                <w:rFonts w:hint="eastAsia"/>
                <w:highlight w:val="none"/>
              </w:rPr>
              <w:sym w:font="Wingdings" w:char="00FE"/>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22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color w:val="020FBE"/>
                <w:lang w:val="en-GB"/>
              </w:rPr>
            </w:pPr>
            <w:r>
              <w:rPr>
                <w:rFonts w:hint="eastAsia"/>
                <w:u w:val="single"/>
                <w:lang w:val="en-US" w:eastAsia="zh-CN"/>
              </w:rPr>
              <w:t>水产（黑鱼、桂鱼、鲈鱼、炼狱、草鱼等）</w:t>
            </w:r>
          </w:p>
          <w:p>
            <w:pPr>
              <w:numPr>
                <w:ilvl w:val="0"/>
                <w:numId w:val="3"/>
              </w:numPr>
              <w:rPr>
                <w:color w:val="020FBE"/>
                <w:lang w:val="en-GB"/>
              </w:rPr>
            </w:pPr>
            <w:r>
              <w:rPr>
                <w:rFonts w:hint="eastAsia"/>
                <w:color w:val="020FBE"/>
                <w:lang w:val="en-US" w:eastAsia="zh-CN"/>
              </w:rPr>
              <w:t>植物油</w:t>
            </w:r>
          </w:p>
          <w:p>
            <w:pPr>
              <w:numPr>
                <w:ilvl w:val="0"/>
                <w:numId w:val="3"/>
              </w:numPr>
              <w:rPr>
                <w:color w:val="020FBE"/>
                <w:lang w:val="en-GB"/>
              </w:rPr>
            </w:pPr>
            <w:r>
              <w:rPr>
                <w:rFonts w:hint="eastAsia"/>
                <w:color w:val="020FBE"/>
                <w:lang w:val="en-US" w:eastAsia="zh-CN"/>
              </w:rPr>
              <w:t>生产用水</w:t>
            </w:r>
          </w:p>
          <w:p>
            <w:pPr>
              <w:numPr>
                <w:ilvl w:val="0"/>
                <w:numId w:val="3"/>
              </w:numPr>
            </w:pPr>
            <w:r>
              <w:rPr>
                <w:rFonts w:hint="eastAsia"/>
                <w:color w:val="020FBE"/>
                <w:lang w:val="en-US" w:eastAsia="zh-CN"/>
              </w:rPr>
              <w:t>味精</w:t>
            </w:r>
          </w:p>
          <w:p>
            <w:pPr>
              <w:numPr>
                <w:ilvl w:val="0"/>
                <w:numId w:val="3"/>
              </w:numPr>
            </w:pPr>
            <w:r>
              <w:rPr>
                <w:rFonts w:hint="eastAsia"/>
                <w:color w:val="020FBE"/>
                <w:lang w:val="en-US" w:eastAsia="zh-CN"/>
              </w:rPr>
              <w:t>食用盐</w:t>
            </w:r>
          </w:p>
          <w:p>
            <w:pPr>
              <w:numPr>
                <w:ilvl w:val="0"/>
                <w:numId w:val="3"/>
              </w:numPr>
            </w:pPr>
            <w:r>
              <w:rPr>
                <w:rFonts w:hint="eastAsia"/>
                <w:color w:val="020FBE"/>
                <w:lang w:val="en-US" w:eastAsia="zh-CN"/>
              </w:rPr>
              <w:t>去腥剂</w:t>
            </w:r>
          </w:p>
          <w:p>
            <w:pPr>
              <w:numPr>
                <w:ilvl w:val="0"/>
                <w:numId w:val="3"/>
              </w:numPr>
            </w:pPr>
            <w:r>
              <w:rPr>
                <w:rFonts w:hint="eastAsia"/>
                <w:color w:val="020FBE"/>
                <w:lang w:val="en-US" w:eastAsia="zh-CN"/>
              </w:rPr>
              <w:t>异VC钠等</w:t>
            </w:r>
          </w:p>
          <w:p>
            <w:pPr>
              <w:numPr>
                <w:ilvl w:val="0"/>
                <w:numId w:val="3"/>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u w:val="none"/>
              </w:rPr>
            </w:pPr>
            <w:r>
              <w:rPr>
                <w:rFonts w:hint="eastAsia"/>
                <w:b/>
                <w:u w:val="single"/>
              </w:rPr>
              <w:t>生制品（速冻调味水产制品）</w:t>
            </w:r>
          </w:p>
          <w:p>
            <w:pPr>
              <w:numPr>
                <w:ilvl w:val="0"/>
                <w:numId w:val="3"/>
              </w:numPr>
              <w:rPr>
                <w:u w:val="none"/>
              </w:rPr>
            </w:pPr>
          </w:p>
          <w:p>
            <w:pPr>
              <w:pStyle w:val="15"/>
            </w:pP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各企业提供产品</w:t>
            </w:r>
            <w:r>
              <w:rPr>
                <w:rFonts w:hint="eastAsia"/>
                <w:u w:val="single"/>
              </w:rPr>
              <w:t xml:space="preserve">     </w:t>
            </w:r>
            <w:r>
              <w:rPr>
                <w:rFonts w:hint="eastAsia"/>
                <w:color w:val="0000FF"/>
                <w:u w:val="single"/>
              </w:rPr>
              <w:t xml:space="preserve"> </w:t>
            </w:r>
            <w:r>
              <w:rPr>
                <w:rFonts w:hint="eastAsia"/>
                <w:color w:val="0000FF"/>
              </w:rPr>
              <w:t xml:space="preserve"> 。</w:t>
            </w:r>
          </w:p>
          <w:p>
            <w:r>
              <w:t>食品安全危害易感消费群体/使用者</w:t>
            </w:r>
            <w:r>
              <w:rPr>
                <w:rFonts w:hint="eastAsia"/>
              </w:rPr>
              <w:t>为：</w:t>
            </w:r>
            <w:r>
              <w:rPr>
                <w:rFonts w:hint="eastAsia"/>
                <w:color w:val="0000FF"/>
                <w:u w:val="single"/>
              </w:rPr>
              <w:t xml:space="preserve">   </w:t>
            </w:r>
            <w:r>
              <w:rPr>
                <w:rFonts w:hint="eastAsia"/>
                <w:u w:val="single"/>
                <w:lang w:val="en-US" w:eastAsia="zh-CN"/>
              </w:rPr>
              <w:t>本身为致敏产品，由客户端进行控制</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rPr>
              <w:sym w:font="Wingdings" w:char="00A8"/>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shd w:val="clear" w:color="auto" w:fill="F4B8FF"/>
              <w:rPr>
                <w:rFonts w:hint="default" w:eastAsia="宋体"/>
                <w:color w:val="0000FF"/>
                <w:lang w:val="en-US" w:eastAsia="zh-CN"/>
              </w:rPr>
            </w:pPr>
            <w:r>
              <w:rPr>
                <w:rFonts w:hint="eastAsia"/>
                <w:color w:val="0000FF"/>
                <w:lang w:eastAsia="zh-CN"/>
              </w:rPr>
              <w:t>——</w:t>
            </w:r>
            <w:r>
              <w:rPr>
                <w:rFonts w:hint="eastAsia"/>
                <w:color w:val="0000FF"/>
                <w:lang w:val="en-US" w:eastAsia="zh-CN"/>
              </w:rPr>
              <w:t>见《危害控制计划》中的危害分析单</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A8"/>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rPr>
                      <w:bCs/>
                    </w:rPr>
                  </w:pPr>
                  <w:r>
                    <w:rPr>
                      <w:rFonts w:hint="eastAsia"/>
                      <w:bCs/>
                      <w:lang w:val="en-GB"/>
                    </w:rPr>
                    <w:t>产品</w:t>
                  </w:r>
                  <w:r>
                    <w:rPr>
                      <w:rFonts w:hint="eastAsia"/>
                      <w:bCs/>
                    </w:rPr>
                    <w:t>名称</w:t>
                  </w:r>
                </w:p>
              </w:tc>
              <w:tc>
                <w:tcPr>
                  <w:tcW w:w="2873" w:type="dxa"/>
                  <w:shd w:val="clear" w:color="auto" w:fill="auto"/>
                  <w:vAlign w:val="bottom"/>
                </w:tcPr>
                <w:p>
                  <w:pPr>
                    <w:jc w:val="center"/>
                    <w:rPr>
                      <w:bCs/>
                      <w:lang w:val="en-GB"/>
                    </w:rPr>
                  </w:pPr>
                  <w:r>
                    <w:rPr>
                      <w:rFonts w:hint="eastAsia"/>
                      <w:bCs/>
                      <w:lang w:val="en-GB"/>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bCs/>
                      <w:lang w:val="en-US" w:eastAsia="zh-CN"/>
                    </w:rPr>
                  </w:pPr>
                  <w:r>
                    <w:rPr>
                      <w:sz w:val="20"/>
                    </w:rPr>
                    <w:t>速冻调制食品（生制品（速冻调味水产制品））</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A8"/>
                  </w:r>
                  <w:r>
                    <w:rPr>
                      <w:rFonts w:hint="eastAsia"/>
                      <w:bCs/>
                    </w:rPr>
                    <w:t>作业指导书&amp;</w:t>
                  </w:r>
                  <w:r>
                    <w:rPr>
                      <w:bCs/>
                    </w:rPr>
                    <w:t>SSOP</w:t>
                  </w:r>
                </w:p>
                <w:p>
                  <w:pPr>
                    <w:rPr>
                      <w:bCs/>
                    </w:rPr>
                  </w:pPr>
                  <w:r>
                    <w:rPr>
                      <w:rFonts w:hint="eastAsia"/>
                      <w:bCs/>
                    </w:rPr>
                    <w:sym w:font="Wingdings" w:char="00FE"/>
                  </w:r>
                  <w:r>
                    <w:rPr>
                      <w:bCs/>
                    </w:rPr>
                    <w:t>CCPs</w:t>
                  </w:r>
                </w:p>
                <w:p>
                  <w:pPr>
                    <w:rPr>
                      <w:bCs/>
                      <w:lang w:val="en-GB"/>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p>
              </w:tc>
              <w:tc>
                <w:tcPr>
                  <w:tcW w:w="2873"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w:t>
                  </w:r>
                </w:p>
                <w:p>
                  <w:pPr>
                    <w:rPr>
                      <w:bCs/>
                    </w:rPr>
                  </w:pPr>
                  <w:r>
                    <w:rPr>
                      <w:rFonts w:hint="eastAsia"/>
                      <w:bCs/>
                    </w:rPr>
                    <w:sym w:font="Wingdings" w:char="00A8"/>
                  </w:r>
                  <w:r>
                    <w:rPr>
                      <w:bCs/>
                    </w:rPr>
                    <w:t>OPRP</w:t>
                  </w:r>
                  <w:r>
                    <w:rPr>
                      <w:rFonts w:hint="eastAsia"/>
                      <w:bCs/>
                    </w:rPr>
                    <w:t xml:space="preserve"> &amp;</w:t>
                  </w:r>
                  <w:r>
                    <w:rPr>
                      <w:bCs/>
                    </w:rPr>
                    <w:t>CCPs</w:t>
                  </w: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p>
            <w:pPr>
              <w:pStyle w:val="6"/>
              <w:rPr>
                <w:rFonts w:hint="eastAsia"/>
                <w:lang w:val="en-GB"/>
              </w:rPr>
            </w:pP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lang w:val="en-GB" w:eastAsia="zh-CN"/>
                    </w:rPr>
                  </w:pPr>
                  <w:r>
                    <w:rPr>
                      <w:rFonts w:hint="eastAsia"/>
                      <w:bCs/>
                      <w:lang w:val="en-US" w:eastAsia="zh-CN"/>
                    </w:rPr>
                    <w:t>水产（黑鱼、桂鱼、鲈鱼、炼狱、草鱼等）</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pStyle w:val="2"/>
                  </w:pP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lang w:val="en-US" w:eastAsia="zh-CN"/>
                    </w:rPr>
                  </w:pPr>
                  <w:r>
                    <w:rPr>
                      <w:rFonts w:hint="eastAsia"/>
                      <w:bCs/>
                      <w:lang w:val="en-US" w:eastAsia="zh-CN"/>
                    </w:rPr>
                    <w:t>味精、食盐、植物油、淀粉等</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
                    <w:rPr>
                      <w:rFonts w:hint="eastAsia"/>
                    </w:rPr>
                    <w:sym w:font="Wingdings" w:char="00FE"/>
                  </w:r>
                  <w:r>
                    <w:rPr>
                      <w:rFonts w:hint="eastAsia"/>
                      <w:lang w:val="en-US" w:eastAsia="zh-CN"/>
                    </w:rPr>
                    <w:t>酸价</w:t>
                  </w:r>
                  <w:r>
                    <w:rPr>
                      <w:rFonts w:hint="eastAsia"/>
                    </w:rPr>
                    <w:t xml:space="preserve">  </w:t>
                  </w:r>
                  <w:r>
                    <w:rPr>
                      <w:rFonts w:hint="eastAsia"/>
                    </w:rPr>
                    <w:sym w:font="Wingdings" w:char="00FE"/>
                  </w:r>
                  <w:r>
                    <w:rPr>
                      <w:rFonts w:hint="eastAsia"/>
                      <w:lang w:val="en-US" w:eastAsia="zh-CN"/>
                    </w:rPr>
                    <w:t>过氧化值</w:t>
                  </w: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eastAsia" w:eastAsia="宋体"/>
                      <w:bCs/>
                      <w:color w:val="0000FF"/>
                      <w:lang w:val="en-US" w:eastAsia="zh-CN"/>
                    </w:rPr>
                  </w:pPr>
                  <w:r>
                    <w:rPr>
                      <w:rFonts w:hint="eastAsia" w:eastAsia="宋体"/>
                      <w:color w:val="000000"/>
                      <w:sz w:val="21"/>
                      <w:szCs w:val="21"/>
                      <w:lang w:val="en-US" w:eastAsia="zh-CN"/>
                    </w:rPr>
                    <w:t>内包材（包装膜、包装袋、吸塑内托）</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3"/>
                    <w:keepNext/>
                    <w:keepLines/>
                    <w:pageBreakBefore w:val="0"/>
                    <w:widowControl w:val="0"/>
                    <w:kinsoku/>
                    <w:wordWrap/>
                    <w:overflowPunct/>
                    <w:topLinePunct w:val="0"/>
                    <w:autoSpaceDE/>
                    <w:autoSpaceDN/>
                    <w:bidi w:val="0"/>
                    <w:adjustRightInd/>
                    <w:snapToGrid/>
                    <w:spacing w:before="0" w:after="0"/>
                    <w:jc w:val="left"/>
                    <w:textAlignment w:val="auto"/>
                    <w:rPr>
                      <w:rFonts w:hint="default" w:eastAsia="宋体"/>
                      <w:lang w:val="en-US" w:eastAsia="zh-CN"/>
                    </w:rPr>
                  </w:pPr>
                  <w:r>
                    <w:rPr>
                      <w:rFonts w:hint="eastAsia"/>
                      <w:b w:val="0"/>
                      <w:bCs/>
                    </w:rPr>
                    <w:sym w:font="Wingdings" w:char="00FE"/>
                  </w:r>
                  <w:r>
                    <w:rPr>
                      <w:rFonts w:hint="eastAsia"/>
                      <w:b w:val="0"/>
                      <w:bCs/>
                      <w:lang w:val="en-US" w:eastAsia="zh-CN"/>
                    </w:rPr>
                    <w:t>高锰酸钾消耗量超标或苯甲二铵超标</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lang w:val="en-GB"/>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rFonts w:hint="default" w:eastAsia="宋体"/>
                      <w:bCs/>
                      <w:lang w:val="en-US"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委托第三方进行)</w:t>
                  </w:r>
                </w:p>
                <w:p>
                  <w:pPr>
                    <w:autoSpaceDE w:val="0"/>
                    <w:autoSpaceDN w:val="0"/>
                    <w:adjustRightInd w:val="0"/>
                    <w:jc w:val="left"/>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ascii="宋体" w:hAnsi="宋体"/>
                      <w:szCs w:val="21"/>
                      <w:lang w:val="en-US" w:eastAsia="zh-CN"/>
                    </w:rPr>
                    <w:t>异VC钠、复配水分保持剂</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rPr>
                    <w:t>化学清洗剂、消毒剂</w:t>
                  </w:r>
                  <w:r>
                    <w:rPr>
                      <w:rFonts w:hint="eastAsia" w:asciiTheme="minorEastAsia" w:hAnsiTheme="minorEastAsia" w:eastAsiaTheme="minorEastAsia"/>
                      <w:lang w:val="en-US" w:eastAsia="zh-CN"/>
                    </w:rPr>
                    <w:t>等</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FE"/>
                  </w:r>
                  <w:r>
                    <w:rPr>
                      <w:rFonts w:hint="eastAsia"/>
                    </w:rPr>
                    <w:t>溶剂残留</w:t>
                  </w:r>
                </w:p>
              </w:tc>
              <w:tc>
                <w:tcPr>
                  <w:tcW w:w="3476" w:type="dxa"/>
                  <w:shd w:val="clear" w:color="auto" w:fill="auto"/>
                </w:tcPr>
                <w:p>
                  <w:pPr>
                    <w:autoSpaceDE w:val="0"/>
                    <w:autoSpaceDN w:val="0"/>
                    <w:adjustRightInd w:val="0"/>
                    <w:jc w:val="left"/>
                    <w:rPr>
                      <w:rFonts w:hint="eastAsia"/>
                      <w:bCs/>
                      <w:lang w:val="en-US" w:eastAsia="zh-CN"/>
                    </w:rPr>
                  </w:pPr>
                  <w:r>
                    <w:rPr>
                      <w:rFonts w:hint="eastAsia"/>
                    </w:rPr>
                    <w:sym w:font="Wingdings" w:char="00FE"/>
                  </w:r>
                  <w:r>
                    <w:rPr>
                      <w:rFonts w:hint="eastAsia"/>
                      <w:bCs/>
                    </w:rPr>
                    <w:t>向供方索取检测报告</w:t>
                  </w:r>
                  <w:r>
                    <w:rPr>
                      <w:rFonts w:hint="eastAsia"/>
                      <w:bCs/>
                      <w:lang w:val="en-US" w:eastAsia="zh-CN"/>
                    </w:rPr>
                    <w:t>或从合格供方采购</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rPr>
                    <w:sym w:font="Wingdings" w:char="00A8"/>
                  </w:r>
                  <w:r>
                    <w:rPr>
                      <w:rFonts w:hint="eastAsia"/>
                      <w:bCs/>
                    </w:rPr>
                    <w:t>第三方检测报告</w:t>
                  </w:r>
                </w:p>
              </w:tc>
            </w:tr>
          </w:tbl>
          <w:p>
            <w:pPr>
              <w:pStyle w:val="2"/>
              <w:ind w:left="0" w:leftChars="0" w:firstLine="0" w:firstLineChars="0"/>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color w:val="0000FF"/>
                <w:lang w:val="en-US" w:eastAsia="zh-CN"/>
              </w:rPr>
              <w:t>控制措施组合的确认时间：2022-08-01；另见产品的安全性验证报告，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76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经过危害评估，最终确认显著危害通过CCP点控制，不涉及OPRP点</w:t>
            </w:r>
          </w:p>
          <w:tbl>
            <w:tblPr>
              <w:tblStyle w:val="11"/>
              <w:tblW w:w="87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9"/>
              <w:gridCol w:w="2533"/>
              <w:gridCol w:w="2048"/>
              <w:gridCol w:w="1905"/>
              <w:gridCol w:w="7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blHeader/>
              </w:trPr>
              <w:tc>
                <w:tcPr>
                  <w:tcW w:w="1529" w:type="dxa"/>
                  <w:tcBorders>
                    <w:tl2br w:val="nil"/>
                    <w:tr2bl w:val="nil"/>
                  </w:tcBorders>
                  <w:tcMar>
                    <w:left w:w="0" w:type="dxa"/>
                    <w:right w:w="0" w:type="dxa"/>
                  </w:tcMar>
                  <w:vAlign w:val="center"/>
                </w:tcPr>
                <w:p>
                  <w:pPr>
                    <w:spacing w:line="300" w:lineRule="exact"/>
                    <w:jc w:val="center"/>
                    <w:rPr>
                      <w:b/>
                      <w:color w:val="000000"/>
                      <w:sz w:val="18"/>
                      <w:szCs w:val="18"/>
                      <w:highlight w:val="none"/>
                    </w:rPr>
                  </w:pPr>
                  <w:r>
                    <w:rPr>
                      <w:rFonts w:hint="eastAsia"/>
                      <w:b/>
                      <w:color w:val="000000"/>
                      <w:sz w:val="18"/>
                      <w:szCs w:val="18"/>
                      <w:highlight w:val="none"/>
                    </w:rPr>
                    <w:t>控制措施</w:t>
                  </w:r>
                </w:p>
              </w:tc>
              <w:tc>
                <w:tcPr>
                  <w:tcW w:w="2533" w:type="dxa"/>
                  <w:tcBorders>
                    <w:tl2br w:val="nil"/>
                    <w:tr2bl w:val="nil"/>
                  </w:tcBorders>
                  <w:tcMar>
                    <w:left w:w="0" w:type="dxa"/>
                    <w:right w:w="0" w:type="dxa"/>
                  </w:tcMar>
                  <w:vAlign w:val="center"/>
                </w:tcPr>
                <w:p>
                  <w:pPr>
                    <w:spacing w:line="300" w:lineRule="exact"/>
                    <w:jc w:val="center"/>
                    <w:rPr>
                      <w:b/>
                      <w:color w:val="000000"/>
                      <w:sz w:val="18"/>
                      <w:szCs w:val="18"/>
                      <w:highlight w:val="none"/>
                    </w:rPr>
                  </w:pPr>
                  <w:r>
                    <w:rPr>
                      <w:rFonts w:hint="eastAsia"/>
                      <w:b/>
                      <w:color w:val="000000"/>
                      <w:sz w:val="18"/>
                      <w:szCs w:val="18"/>
                      <w:highlight w:val="none"/>
                    </w:rPr>
                    <w:t>所控制危害</w:t>
                  </w:r>
                </w:p>
              </w:tc>
              <w:tc>
                <w:tcPr>
                  <w:tcW w:w="2048" w:type="dxa"/>
                  <w:tcBorders>
                    <w:tl2br w:val="nil"/>
                    <w:tr2bl w:val="nil"/>
                  </w:tcBorders>
                  <w:tcMar>
                    <w:left w:w="0" w:type="dxa"/>
                    <w:right w:w="0" w:type="dxa"/>
                  </w:tcMar>
                  <w:vAlign w:val="center"/>
                </w:tcPr>
                <w:p>
                  <w:pPr>
                    <w:spacing w:line="300" w:lineRule="exact"/>
                    <w:jc w:val="center"/>
                    <w:rPr>
                      <w:rFonts w:hint="eastAsia"/>
                      <w:b/>
                      <w:color w:val="000000"/>
                      <w:sz w:val="18"/>
                      <w:szCs w:val="18"/>
                      <w:highlight w:val="none"/>
                    </w:rPr>
                  </w:pPr>
                  <w:r>
                    <w:rPr>
                      <w:rFonts w:hint="eastAsia"/>
                      <w:b/>
                      <w:color w:val="000000"/>
                      <w:sz w:val="18"/>
                      <w:szCs w:val="18"/>
                      <w:highlight w:val="none"/>
                    </w:rPr>
                    <w:t>关键限值</w:t>
                  </w:r>
                  <w:r>
                    <w:rPr>
                      <w:rFonts w:hint="eastAsia"/>
                      <w:b/>
                      <w:color w:val="000000"/>
                      <w:sz w:val="18"/>
                      <w:szCs w:val="18"/>
                      <w:highlight w:val="none"/>
                      <w:lang w:val="en-US" w:eastAsia="zh-CN"/>
                    </w:rPr>
                    <w:t>/</w:t>
                  </w:r>
                  <w:r>
                    <w:rPr>
                      <w:rFonts w:hint="eastAsia"/>
                      <w:b/>
                      <w:color w:val="000000"/>
                      <w:sz w:val="18"/>
                      <w:szCs w:val="18"/>
                      <w:highlight w:val="none"/>
                    </w:rPr>
                    <w:t>行动准则</w:t>
                  </w:r>
                </w:p>
              </w:tc>
              <w:tc>
                <w:tcPr>
                  <w:tcW w:w="1905" w:type="dxa"/>
                  <w:tcBorders>
                    <w:tl2br w:val="nil"/>
                    <w:tr2bl w:val="nil"/>
                  </w:tcBorders>
                  <w:tcMar>
                    <w:left w:w="0" w:type="dxa"/>
                    <w:right w:w="0" w:type="dxa"/>
                  </w:tcMar>
                  <w:vAlign w:val="center"/>
                </w:tcPr>
                <w:p>
                  <w:pPr>
                    <w:spacing w:line="300" w:lineRule="exact"/>
                    <w:jc w:val="center"/>
                    <w:rPr>
                      <w:b/>
                      <w:color w:val="000000"/>
                      <w:sz w:val="18"/>
                      <w:szCs w:val="18"/>
                      <w:highlight w:val="none"/>
                    </w:rPr>
                  </w:pPr>
                  <w:r>
                    <w:rPr>
                      <w:rFonts w:hint="eastAsia"/>
                      <w:b/>
                      <w:color w:val="000000"/>
                      <w:sz w:val="18"/>
                      <w:szCs w:val="18"/>
                      <w:highlight w:val="none"/>
                    </w:rPr>
                    <w:t>监控</w:t>
                  </w:r>
                </w:p>
              </w:tc>
              <w:tc>
                <w:tcPr>
                  <w:tcW w:w="762" w:type="dxa"/>
                  <w:tcBorders>
                    <w:tl2br w:val="nil"/>
                    <w:tr2bl w:val="nil"/>
                  </w:tcBorders>
                  <w:tcMar>
                    <w:left w:w="0" w:type="dxa"/>
                    <w:right w:w="0" w:type="dxa"/>
                  </w:tcMar>
                  <w:vAlign w:val="center"/>
                </w:tcPr>
                <w:p>
                  <w:pPr>
                    <w:spacing w:line="300" w:lineRule="exact"/>
                    <w:jc w:val="center"/>
                    <w:rPr>
                      <w:rFonts w:hint="eastAsia" w:eastAsia="宋体"/>
                      <w:b/>
                      <w:color w:val="000000"/>
                      <w:sz w:val="18"/>
                      <w:szCs w:val="18"/>
                      <w:highlight w:val="none"/>
                      <w:lang w:eastAsia="zh-CN"/>
                    </w:rPr>
                  </w:pPr>
                  <w:r>
                    <w:rPr>
                      <w:rFonts w:hint="eastAsia"/>
                      <w:b/>
                      <w:color w:val="000000"/>
                      <w:sz w:val="18"/>
                      <w:szCs w:val="18"/>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8" w:hRule="atLeast"/>
              </w:trPr>
              <w:tc>
                <w:tcPr>
                  <w:tcW w:w="1529" w:type="dxa"/>
                  <w:tcBorders>
                    <w:tl2br w:val="nil"/>
                    <w:tr2bl w:val="nil"/>
                  </w:tcBorders>
                  <w:tcMar>
                    <w:left w:w="0" w:type="dxa"/>
                    <w:right w:w="0" w:type="dxa"/>
                  </w:tcMar>
                  <w:vAlign w:val="center"/>
                </w:tcPr>
                <w:p>
                  <w:pPr>
                    <w:adjustRightInd w:val="0"/>
                    <w:snapToGrid w:val="0"/>
                    <w:jc w:val="left"/>
                    <w:rPr>
                      <w:rFonts w:hint="eastAsia" w:ascii="宋体"/>
                      <w:sz w:val="18"/>
                      <w:highlight w:val="none"/>
                    </w:rPr>
                  </w:pPr>
                  <w:r>
                    <w:rPr>
                      <w:rFonts w:hint="eastAsia" w:ascii="宋体"/>
                      <w:sz w:val="18"/>
                      <w:highlight w:val="none"/>
                    </w:rPr>
                    <w:t>原料（水产）验收</w:t>
                  </w:r>
                </w:p>
                <w:p>
                  <w:pPr>
                    <w:spacing w:line="192" w:lineRule="auto"/>
                    <w:jc w:val="left"/>
                    <w:rPr>
                      <w:color w:val="000000"/>
                      <w:sz w:val="18"/>
                      <w:szCs w:val="18"/>
                      <w:highlight w:val="none"/>
                    </w:rPr>
                  </w:pPr>
                  <w:r>
                    <w:rPr>
                      <w:rFonts w:ascii="宋体"/>
                      <w:sz w:val="18"/>
                      <w:highlight w:val="none"/>
                    </w:rPr>
                    <w:t>OPRP</w:t>
                  </w:r>
                  <w:r>
                    <w:rPr>
                      <w:rFonts w:hint="eastAsia" w:ascii="宋体"/>
                      <w:sz w:val="18"/>
                      <w:highlight w:val="none"/>
                    </w:rPr>
                    <w:t>1-1</w:t>
                  </w:r>
                </w:p>
              </w:tc>
              <w:tc>
                <w:tcPr>
                  <w:tcW w:w="2533" w:type="dxa"/>
                  <w:tcBorders>
                    <w:tl2br w:val="nil"/>
                    <w:tr2bl w:val="nil"/>
                  </w:tcBorders>
                  <w:tcMar>
                    <w:left w:w="0" w:type="dxa"/>
                    <w:right w:w="0" w:type="dxa"/>
                  </w:tcMar>
                  <w:vAlign w:val="center"/>
                </w:tcPr>
                <w:p>
                  <w:pPr>
                    <w:adjustRightInd w:val="0"/>
                    <w:snapToGrid w:val="0"/>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重金属或药物残留超标，如：</w:t>
                  </w:r>
                  <w:r>
                    <w:rPr>
                      <w:rFonts w:ascii="宋体"/>
                      <w:sz w:val="18"/>
                      <w:highlight w:val="none"/>
                    </w:rPr>
                    <w:t>铅（以Pb计）≤1.0 mg/kg</w:t>
                  </w:r>
                  <w:r>
                    <w:rPr>
                      <w:rFonts w:hint="eastAsia" w:ascii="宋体"/>
                      <w:sz w:val="18"/>
                      <w:highlight w:val="none"/>
                    </w:rPr>
                    <w:t>；</w:t>
                  </w:r>
                  <w:r>
                    <w:rPr>
                      <w:rFonts w:ascii="宋体"/>
                      <w:sz w:val="18"/>
                      <w:highlight w:val="none"/>
                    </w:rPr>
                    <w:t>砷（以As计）≤0.5 mg/kg</w:t>
                  </w:r>
                  <w:r>
                    <w:rPr>
                      <w:rFonts w:hint="eastAsia" w:ascii="宋体"/>
                      <w:sz w:val="18"/>
                      <w:highlight w:val="none"/>
                    </w:rPr>
                    <w:t>。多氯联苯≤0</w:t>
                  </w:r>
                  <w:r>
                    <w:rPr>
                      <w:rFonts w:ascii="宋体"/>
                      <w:sz w:val="18"/>
                      <w:highlight w:val="none"/>
                    </w:rPr>
                    <w:t>.5</w:t>
                  </w:r>
                  <w:r>
                    <w:rPr>
                      <w:rFonts w:hint="eastAsia" w:ascii="宋体"/>
                      <w:sz w:val="18"/>
                      <w:highlight w:val="none"/>
                    </w:rPr>
                    <w:t>mg</w:t>
                  </w:r>
                  <w:r>
                    <w:rPr>
                      <w:rFonts w:ascii="宋体"/>
                      <w:sz w:val="18"/>
                      <w:highlight w:val="none"/>
                    </w:rPr>
                    <w:t>/</w:t>
                  </w:r>
                  <w:r>
                    <w:rPr>
                      <w:rFonts w:hint="eastAsia" w:ascii="宋体"/>
                      <w:sz w:val="18"/>
                      <w:highlight w:val="none"/>
                    </w:rPr>
                    <w:t>kg</w:t>
                  </w:r>
                </w:p>
              </w:tc>
              <w:tc>
                <w:tcPr>
                  <w:tcW w:w="2048" w:type="dxa"/>
                  <w:tcBorders>
                    <w:tl2br w:val="nil"/>
                    <w:tr2bl w:val="nil"/>
                  </w:tcBorders>
                  <w:tcMar>
                    <w:left w:w="0" w:type="dxa"/>
                    <w:right w:w="0" w:type="dxa"/>
                  </w:tcMar>
                  <w:vAlign w:val="center"/>
                </w:tcPr>
                <w:p>
                  <w:pPr>
                    <w:adjustRightInd w:val="0"/>
                    <w:snapToGrid w:val="0"/>
                    <w:ind w:left="-34" w:leftChars="-16" w:firstLine="28" w:firstLineChars="16"/>
                    <w:jc w:val="left"/>
                    <w:rPr>
                      <w:rFonts w:hint="default" w:ascii="宋体" w:hAnsi="Times New Roman" w:eastAsia="宋体" w:cs="Times New Roman"/>
                      <w:kern w:val="2"/>
                      <w:sz w:val="18"/>
                      <w:highlight w:val="none"/>
                      <w:lang w:val="en-US" w:eastAsia="zh-CN" w:bidi="ar-SA"/>
                    </w:rPr>
                  </w:pPr>
                  <w:r>
                    <w:rPr>
                      <w:rFonts w:hint="eastAsia" w:ascii="宋体"/>
                      <w:sz w:val="18"/>
                      <w:highlight w:val="none"/>
                    </w:rPr>
                    <w:t>每批原料来自评价合格的供应商，原料鱼或成品年度检验符合要求</w:t>
                  </w:r>
                </w:p>
              </w:tc>
              <w:tc>
                <w:tcPr>
                  <w:tcW w:w="1905" w:type="dxa"/>
                  <w:tcBorders>
                    <w:tl2br w:val="nil"/>
                    <w:tr2bl w:val="nil"/>
                  </w:tcBorders>
                  <w:tcMar>
                    <w:left w:w="0" w:type="dxa"/>
                    <w:right w:w="0" w:type="dxa"/>
                  </w:tcMar>
                  <w:vAlign w:val="center"/>
                </w:tcPr>
                <w:p>
                  <w:pPr>
                    <w:adjustRightInd w:val="0"/>
                    <w:snapToGrid w:val="0"/>
                    <w:jc w:val="left"/>
                    <w:rPr>
                      <w:rFonts w:hint="eastAsia" w:ascii="宋体"/>
                      <w:sz w:val="18"/>
                      <w:highlight w:val="none"/>
                    </w:rPr>
                  </w:pPr>
                  <w:r>
                    <w:rPr>
                      <w:rFonts w:hint="eastAsia" w:ascii="宋体"/>
                      <w:sz w:val="18"/>
                      <w:highlight w:val="none"/>
                    </w:rPr>
                    <w:t>供方管理人员</w:t>
                  </w:r>
                </w:p>
                <w:p>
                  <w:pPr>
                    <w:adjustRightInd w:val="0"/>
                    <w:snapToGrid w:val="0"/>
                    <w:jc w:val="left"/>
                    <w:rPr>
                      <w:rFonts w:hint="eastAsia" w:ascii="宋体" w:eastAsia="宋体"/>
                      <w:sz w:val="18"/>
                      <w:highlight w:val="none"/>
                      <w:lang w:eastAsia="zh-CN"/>
                    </w:rPr>
                  </w:pPr>
                  <w:r>
                    <w:rPr>
                      <w:rFonts w:hint="eastAsia" w:ascii="宋体"/>
                      <w:sz w:val="18"/>
                      <w:highlight w:val="none"/>
                    </w:rPr>
                    <w:t>每年肉眼观察证明文件</w:t>
                  </w:r>
                  <w:r>
                    <w:rPr>
                      <w:rFonts w:hint="eastAsia" w:ascii="宋体"/>
                      <w:sz w:val="18"/>
                      <w:highlight w:val="none"/>
                      <w:lang w:eastAsia="zh-CN"/>
                    </w:rPr>
                    <w:t>；</w:t>
                  </w:r>
                </w:p>
                <w:p>
                  <w:pPr>
                    <w:adjustRightInd w:val="0"/>
                    <w:snapToGrid w:val="0"/>
                    <w:jc w:val="left"/>
                    <w:rPr>
                      <w:rFonts w:hint="eastAsia" w:ascii="宋体"/>
                      <w:sz w:val="18"/>
                      <w:highlight w:val="none"/>
                    </w:rPr>
                  </w:pPr>
                  <w:r>
                    <w:rPr>
                      <w:rFonts w:hint="eastAsia" w:ascii="宋体"/>
                      <w:sz w:val="18"/>
                      <w:highlight w:val="none"/>
                    </w:rPr>
                    <w:t>检验人员每批肉眼观察原料来自合格供方</w:t>
                  </w:r>
                </w:p>
                <w:p>
                  <w:pPr>
                    <w:spacing w:line="192" w:lineRule="auto"/>
                    <w:jc w:val="left"/>
                    <w:rPr>
                      <w:rFonts w:hint="default" w:eastAsia="宋体"/>
                      <w:color w:val="000000"/>
                      <w:sz w:val="18"/>
                      <w:szCs w:val="18"/>
                      <w:highlight w:val="none"/>
                      <w:lang w:val="en-US" w:eastAsia="zh-CN"/>
                    </w:rPr>
                  </w:pPr>
                </w:p>
              </w:tc>
              <w:tc>
                <w:tcPr>
                  <w:tcW w:w="762" w:type="dxa"/>
                  <w:tcBorders>
                    <w:tl2br w:val="nil"/>
                    <w:tr2bl w:val="nil"/>
                  </w:tcBorders>
                  <w:tcMar>
                    <w:left w:w="0" w:type="dxa"/>
                    <w:right w:w="0" w:type="dxa"/>
                  </w:tcMar>
                  <w:vAlign w:val="center"/>
                </w:tcPr>
                <w:p>
                  <w:pPr>
                    <w:spacing w:line="192" w:lineRule="auto"/>
                    <w:jc w:val="left"/>
                    <w:rPr>
                      <w:rFonts w:hint="eastAsia" w:eastAsia="宋体"/>
                      <w:color w:val="000000"/>
                      <w:sz w:val="18"/>
                      <w:szCs w:val="18"/>
                      <w:highlight w:val="none"/>
                      <w:lang w:val="en-US" w:eastAsia="zh-CN"/>
                    </w:rPr>
                  </w:pPr>
                  <w:r>
                    <w:rPr>
                      <w:rFonts w:hint="eastAsia" w:ascii="宋体" w:eastAsia="宋体"/>
                      <w:sz w:val="18"/>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11" w:hRule="atLeast"/>
              </w:trPr>
              <w:tc>
                <w:tcPr>
                  <w:tcW w:w="1529" w:type="dxa"/>
                  <w:tcBorders>
                    <w:tl2br w:val="nil"/>
                    <w:tr2bl w:val="nil"/>
                  </w:tcBorders>
                  <w:tcMar>
                    <w:left w:w="0" w:type="dxa"/>
                    <w:right w:w="0" w:type="dxa"/>
                  </w:tcMar>
                  <w:vAlign w:val="center"/>
                </w:tcPr>
                <w:p>
                  <w:pPr>
                    <w:adjustRightInd w:val="0"/>
                    <w:snapToGrid w:val="0"/>
                    <w:jc w:val="left"/>
                    <w:rPr>
                      <w:rFonts w:hint="eastAsia" w:ascii="宋体"/>
                      <w:sz w:val="18"/>
                      <w:highlight w:val="none"/>
                    </w:rPr>
                  </w:pPr>
                  <w:r>
                    <w:rPr>
                      <w:rFonts w:hint="eastAsia" w:ascii="宋体"/>
                      <w:sz w:val="18"/>
                      <w:highlight w:val="none"/>
                    </w:rPr>
                    <w:t>包装材料验收</w:t>
                  </w:r>
                </w:p>
                <w:p>
                  <w:pPr>
                    <w:adjustRightInd w:val="0"/>
                    <w:snapToGrid w:val="0"/>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CCP1-2</w:t>
                  </w:r>
                </w:p>
              </w:tc>
              <w:tc>
                <w:tcPr>
                  <w:tcW w:w="2533" w:type="dxa"/>
                  <w:tcBorders>
                    <w:tl2br w:val="nil"/>
                    <w:tr2bl w:val="nil"/>
                  </w:tcBorders>
                  <w:tcMar>
                    <w:left w:w="0" w:type="dxa"/>
                    <w:right w:w="0" w:type="dxa"/>
                  </w:tcMar>
                  <w:vAlign w:val="center"/>
                </w:tcPr>
                <w:p>
                  <w:pPr>
                    <w:spacing w:line="252" w:lineRule="auto"/>
                    <w:jc w:val="left"/>
                    <w:rPr>
                      <w:rFonts w:hint="eastAsia" w:ascii="宋体"/>
                      <w:sz w:val="18"/>
                      <w:highlight w:val="none"/>
                    </w:rPr>
                  </w:pPr>
                  <w:r>
                    <w:rPr>
                      <w:rFonts w:hint="eastAsia" w:ascii="宋体"/>
                      <w:sz w:val="18"/>
                      <w:highlight w:val="none"/>
                    </w:rPr>
                    <w:t>易溶出的化学污染物：</w:t>
                  </w:r>
                </w:p>
                <w:p>
                  <w:pPr>
                    <w:spacing w:line="252" w:lineRule="auto"/>
                    <w:jc w:val="left"/>
                    <w:rPr>
                      <w:rFonts w:hint="eastAsia" w:ascii="宋体" w:hAnsi="Times New Roman" w:eastAsia="宋体" w:cs="Times New Roman"/>
                      <w:kern w:val="2"/>
                      <w:sz w:val="18"/>
                      <w:highlight w:val="none"/>
                      <w:lang w:val="en-US" w:eastAsia="zh-CN" w:bidi="ar-SA"/>
                    </w:rPr>
                  </w:pPr>
                  <w:r>
                    <w:rPr>
                      <w:rFonts w:ascii="宋体"/>
                      <w:sz w:val="18"/>
                      <w:highlight w:val="none"/>
                    </w:rPr>
                    <w:t xml:space="preserve">甲苯二胺≤ 0.004mg/L，　　 　  </w:t>
                  </w:r>
                  <w:r>
                    <w:rPr>
                      <w:rFonts w:ascii="宋体"/>
                      <w:sz w:val="18"/>
                      <w:highlight w:val="none"/>
                    </w:rPr>
                    <w:br w:type="textWrapping"/>
                  </w:r>
                  <w:r>
                    <w:rPr>
                      <w:rFonts w:ascii="宋体"/>
                      <w:sz w:val="18"/>
                      <w:highlight w:val="none"/>
                    </w:rPr>
                    <w:t xml:space="preserve">蒸发残渣≤ 30 mg/L，　　　　　　　　  　 </w:t>
                  </w:r>
                  <w:r>
                    <w:rPr>
                      <w:rFonts w:ascii="宋体"/>
                      <w:sz w:val="18"/>
                      <w:highlight w:val="none"/>
                    </w:rPr>
                    <w:br w:type="textWrapping"/>
                  </w:r>
                  <w:r>
                    <w:rPr>
                      <w:rFonts w:ascii="宋体"/>
                      <w:sz w:val="18"/>
                      <w:highlight w:val="none"/>
                    </w:rPr>
                    <w:t xml:space="preserve">高锰酸钾消耗量（水）≤ 10mg/L ， </w:t>
                  </w:r>
                  <w:r>
                    <w:rPr>
                      <w:rFonts w:ascii="宋体"/>
                      <w:sz w:val="18"/>
                      <w:highlight w:val="none"/>
                    </w:rPr>
                    <w:br w:type="textWrapping"/>
                  </w:r>
                  <w:r>
                    <w:rPr>
                      <w:rFonts w:ascii="宋体"/>
                      <w:sz w:val="18"/>
                      <w:highlight w:val="none"/>
                    </w:rPr>
                    <w:t>重金属（以Pb计）≤ 1 mg/L，</w:t>
                  </w:r>
                </w:p>
              </w:tc>
              <w:tc>
                <w:tcPr>
                  <w:tcW w:w="2048" w:type="dxa"/>
                  <w:tcBorders>
                    <w:tl2br w:val="nil"/>
                    <w:tr2bl w:val="nil"/>
                  </w:tcBorders>
                  <w:tcMar>
                    <w:left w:w="0" w:type="dxa"/>
                    <w:right w:w="0" w:type="dxa"/>
                  </w:tcMar>
                  <w:vAlign w:val="center"/>
                </w:tcPr>
                <w:p>
                  <w:pPr>
                    <w:adjustRightInd w:val="0"/>
                    <w:snapToGrid w:val="0"/>
                    <w:ind w:left="-34" w:leftChars="-16" w:firstLine="28" w:firstLineChars="16"/>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每批包材来自评价合格的供应商，有检验检疫部门出具的包装性能结果单</w:t>
                  </w:r>
                </w:p>
              </w:tc>
              <w:tc>
                <w:tcPr>
                  <w:tcW w:w="1905" w:type="dxa"/>
                  <w:tcBorders>
                    <w:tl2br w:val="nil"/>
                    <w:tr2bl w:val="nil"/>
                  </w:tcBorders>
                  <w:tcMar>
                    <w:left w:w="0" w:type="dxa"/>
                    <w:right w:w="0" w:type="dxa"/>
                  </w:tcMar>
                  <w:vAlign w:val="center"/>
                </w:tcPr>
                <w:p>
                  <w:pPr>
                    <w:adjustRightInd w:val="0"/>
                    <w:snapToGrid w:val="0"/>
                    <w:jc w:val="left"/>
                    <w:rPr>
                      <w:rFonts w:hint="eastAsia" w:ascii="宋体"/>
                      <w:sz w:val="18"/>
                      <w:highlight w:val="none"/>
                    </w:rPr>
                  </w:pPr>
                  <w:r>
                    <w:rPr>
                      <w:rFonts w:hint="eastAsia" w:ascii="宋体"/>
                      <w:sz w:val="18"/>
                      <w:highlight w:val="none"/>
                    </w:rPr>
                    <w:t>供方管理人员</w:t>
                  </w:r>
                </w:p>
                <w:p>
                  <w:pPr>
                    <w:adjustRightInd w:val="0"/>
                    <w:snapToGrid w:val="0"/>
                    <w:jc w:val="left"/>
                    <w:rPr>
                      <w:rFonts w:hint="eastAsia" w:ascii="宋体" w:eastAsia="宋体"/>
                      <w:sz w:val="18"/>
                      <w:highlight w:val="none"/>
                      <w:lang w:eastAsia="zh-CN"/>
                    </w:rPr>
                  </w:pPr>
                  <w:r>
                    <w:rPr>
                      <w:rFonts w:hint="eastAsia" w:ascii="宋体"/>
                      <w:sz w:val="18"/>
                      <w:highlight w:val="none"/>
                    </w:rPr>
                    <w:t>每年肉眼观察证明文件</w:t>
                  </w:r>
                  <w:r>
                    <w:rPr>
                      <w:rFonts w:hint="eastAsia" w:ascii="宋体"/>
                      <w:sz w:val="18"/>
                      <w:highlight w:val="none"/>
                      <w:lang w:eastAsia="zh-CN"/>
                    </w:rPr>
                    <w:t>；</w:t>
                  </w:r>
                </w:p>
                <w:p>
                  <w:pPr>
                    <w:adjustRightInd w:val="0"/>
                    <w:snapToGrid w:val="0"/>
                    <w:jc w:val="left"/>
                    <w:rPr>
                      <w:rFonts w:hint="eastAsia" w:ascii="宋体"/>
                      <w:sz w:val="18"/>
                      <w:highlight w:val="none"/>
                    </w:rPr>
                  </w:pPr>
                  <w:r>
                    <w:rPr>
                      <w:rFonts w:hint="eastAsia" w:ascii="宋体"/>
                      <w:sz w:val="18"/>
                      <w:highlight w:val="none"/>
                    </w:rPr>
                    <w:t>检验人员每批肉眼观察原料来自合格供方</w:t>
                  </w:r>
                </w:p>
                <w:p>
                  <w:pPr>
                    <w:spacing w:line="192" w:lineRule="auto"/>
                    <w:jc w:val="left"/>
                    <w:rPr>
                      <w:rFonts w:hint="default"/>
                      <w:color w:val="000000"/>
                      <w:sz w:val="18"/>
                      <w:szCs w:val="18"/>
                      <w:highlight w:val="none"/>
                      <w:lang w:val="en-US" w:eastAsia="zh-CN"/>
                    </w:rPr>
                  </w:pPr>
                </w:p>
              </w:tc>
              <w:tc>
                <w:tcPr>
                  <w:tcW w:w="762" w:type="dxa"/>
                  <w:tcBorders>
                    <w:tl2br w:val="nil"/>
                    <w:tr2bl w:val="nil"/>
                  </w:tcBorders>
                  <w:tcMar>
                    <w:left w:w="0" w:type="dxa"/>
                    <w:right w:w="0" w:type="dxa"/>
                  </w:tcMar>
                  <w:vAlign w:val="center"/>
                </w:tcPr>
                <w:p>
                  <w:pPr>
                    <w:spacing w:line="192" w:lineRule="auto"/>
                    <w:jc w:val="left"/>
                    <w:rPr>
                      <w:rFonts w:hint="eastAsia" w:eastAsia="宋体"/>
                      <w:color w:val="000000"/>
                      <w:sz w:val="18"/>
                      <w:szCs w:val="18"/>
                      <w:highlight w:val="none"/>
                      <w:lang w:eastAsia="zh-CN"/>
                    </w:rPr>
                  </w:pPr>
                  <w:r>
                    <w:rPr>
                      <w:rFonts w:hint="eastAsia" w:ascii="宋体" w:eastAsia="宋体"/>
                      <w:sz w:val="18"/>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trPr>
              <w:tc>
                <w:tcPr>
                  <w:tcW w:w="1529" w:type="dxa"/>
                  <w:tcBorders>
                    <w:tl2br w:val="nil"/>
                    <w:tr2bl w:val="nil"/>
                  </w:tcBorders>
                  <w:tcMar>
                    <w:left w:w="0" w:type="dxa"/>
                    <w:right w:w="0" w:type="dxa"/>
                  </w:tcMar>
                  <w:vAlign w:val="center"/>
                </w:tcPr>
                <w:p>
                  <w:pPr>
                    <w:adjustRightInd w:val="0"/>
                    <w:snapToGrid w:val="0"/>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滚揉O</w:t>
                  </w:r>
                  <w:r>
                    <w:rPr>
                      <w:rFonts w:ascii="宋体"/>
                      <w:sz w:val="18"/>
                      <w:highlight w:val="none"/>
                    </w:rPr>
                    <w:t>PRP2</w:t>
                  </w:r>
                </w:p>
              </w:tc>
              <w:tc>
                <w:tcPr>
                  <w:tcW w:w="2533" w:type="dxa"/>
                  <w:tcBorders>
                    <w:tl2br w:val="nil"/>
                    <w:tr2bl w:val="nil"/>
                  </w:tcBorders>
                  <w:tcMar>
                    <w:left w:w="0" w:type="dxa"/>
                    <w:right w:w="0" w:type="dxa"/>
                  </w:tcMar>
                  <w:vAlign w:val="center"/>
                </w:tcPr>
                <w:p>
                  <w:pPr>
                    <w:spacing w:line="252" w:lineRule="auto"/>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限量添加剂使用超标，添加剂使用符合G</w:t>
                  </w:r>
                  <w:r>
                    <w:rPr>
                      <w:rFonts w:ascii="宋体"/>
                      <w:sz w:val="18"/>
                      <w:highlight w:val="none"/>
                    </w:rPr>
                    <w:t>B2760</w:t>
                  </w:r>
                  <w:r>
                    <w:rPr>
                      <w:rFonts w:hint="eastAsia" w:ascii="宋体"/>
                      <w:sz w:val="18"/>
                      <w:highlight w:val="none"/>
                    </w:rPr>
                    <w:t>要求</w:t>
                  </w:r>
                </w:p>
              </w:tc>
              <w:tc>
                <w:tcPr>
                  <w:tcW w:w="2048" w:type="dxa"/>
                  <w:tcBorders>
                    <w:tl2br w:val="nil"/>
                    <w:tr2bl w:val="nil"/>
                  </w:tcBorders>
                  <w:tcMar>
                    <w:left w:w="0" w:type="dxa"/>
                    <w:right w:w="0" w:type="dxa"/>
                  </w:tcMar>
                  <w:vAlign w:val="center"/>
                </w:tcPr>
                <w:p>
                  <w:pPr>
                    <w:adjustRightInd w:val="0"/>
                    <w:snapToGrid w:val="0"/>
                    <w:ind w:left="-34" w:leftChars="-16" w:firstLine="28" w:firstLineChars="16"/>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严格按照配料表要求使用配料</w:t>
                  </w:r>
                </w:p>
              </w:tc>
              <w:tc>
                <w:tcPr>
                  <w:tcW w:w="1905" w:type="dxa"/>
                  <w:tcBorders>
                    <w:tl2br w:val="nil"/>
                    <w:tr2bl w:val="nil"/>
                  </w:tcBorders>
                  <w:tcMar>
                    <w:left w:w="0" w:type="dxa"/>
                    <w:right w:w="0" w:type="dxa"/>
                  </w:tcMar>
                  <w:vAlign w:val="center"/>
                </w:tcPr>
                <w:p>
                  <w:pPr>
                    <w:spacing w:line="192" w:lineRule="auto"/>
                    <w:jc w:val="left"/>
                    <w:rPr>
                      <w:rFonts w:hint="eastAsia"/>
                      <w:color w:val="000000"/>
                      <w:sz w:val="18"/>
                      <w:szCs w:val="18"/>
                      <w:highlight w:val="none"/>
                      <w:lang w:val="en-US" w:eastAsia="zh-CN"/>
                    </w:rPr>
                  </w:pPr>
                  <w:r>
                    <w:rPr>
                      <w:rFonts w:hint="eastAsia" w:ascii="宋体"/>
                      <w:sz w:val="18"/>
                      <w:highlight w:val="none"/>
                    </w:rPr>
                    <w:t>配料员/管理员每批人工检查配料记录</w:t>
                  </w:r>
                </w:p>
              </w:tc>
              <w:tc>
                <w:tcPr>
                  <w:tcW w:w="762" w:type="dxa"/>
                  <w:tcBorders>
                    <w:tl2br w:val="nil"/>
                    <w:tr2bl w:val="nil"/>
                  </w:tcBorders>
                  <w:tcMar>
                    <w:left w:w="0" w:type="dxa"/>
                    <w:right w:w="0" w:type="dxa"/>
                  </w:tcMar>
                  <w:vAlign w:val="center"/>
                </w:tcPr>
                <w:p>
                  <w:pPr>
                    <w:spacing w:line="192" w:lineRule="auto"/>
                    <w:jc w:val="left"/>
                    <w:rPr>
                      <w:rFonts w:hint="eastAsia"/>
                      <w:sz w:val="18"/>
                      <w:szCs w:val="18"/>
                      <w:highlight w:val="none"/>
                      <w:lang w:eastAsia="zh-CN"/>
                    </w:rPr>
                  </w:pPr>
                  <w:r>
                    <w:rPr>
                      <w:rFonts w:hint="eastAsia"/>
                      <w:sz w:val="18"/>
                      <w:szCs w:val="18"/>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1529" w:type="dxa"/>
                  <w:tcBorders>
                    <w:tl2br w:val="nil"/>
                    <w:tr2bl w:val="nil"/>
                  </w:tcBorders>
                  <w:tcMar>
                    <w:left w:w="0" w:type="dxa"/>
                    <w:right w:w="0" w:type="dxa"/>
                  </w:tcMar>
                  <w:vAlign w:val="center"/>
                </w:tcPr>
                <w:p>
                  <w:pPr>
                    <w:jc w:val="left"/>
                    <w:rPr>
                      <w:rFonts w:hint="eastAsia" w:ascii="宋体"/>
                      <w:sz w:val="18"/>
                      <w:highlight w:val="none"/>
                    </w:rPr>
                  </w:pPr>
                  <w:r>
                    <w:rPr>
                      <w:rFonts w:hint="eastAsia" w:ascii="宋体"/>
                      <w:sz w:val="18"/>
                      <w:highlight w:val="none"/>
                    </w:rPr>
                    <w:t>金属探测</w:t>
                  </w:r>
                </w:p>
                <w:p>
                  <w:pPr>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CCP</w:t>
                  </w:r>
                  <w:r>
                    <w:rPr>
                      <w:rFonts w:ascii="宋体"/>
                      <w:sz w:val="18"/>
                      <w:highlight w:val="none"/>
                    </w:rPr>
                    <w:t>1</w:t>
                  </w:r>
                </w:p>
              </w:tc>
              <w:tc>
                <w:tcPr>
                  <w:tcW w:w="2533" w:type="dxa"/>
                  <w:tcBorders>
                    <w:tl2br w:val="nil"/>
                    <w:tr2bl w:val="nil"/>
                  </w:tcBorders>
                  <w:tcMar>
                    <w:left w:w="0" w:type="dxa"/>
                    <w:right w:w="0" w:type="dxa"/>
                  </w:tcMar>
                  <w:vAlign w:val="center"/>
                </w:tcPr>
                <w:p>
                  <w:pPr>
                    <w:jc w:val="left"/>
                    <w:rPr>
                      <w:rFonts w:hint="eastAsia"/>
                      <w:sz w:val="18"/>
                      <w:szCs w:val="18"/>
                      <w:highlight w:val="none"/>
                    </w:rPr>
                  </w:pPr>
                  <w:r>
                    <w:rPr>
                      <w:rFonts w:hint="eastAsia"/>
                      <w:sz w:val="18"/>
                      <w:szCs w:val="18"/>
                      <w:highlight w:val="none"/>
                    </w:rPr>
                    <w:t>异物：</w:t>
                  </w:r>
                </w:p>
                <w:p>
                  <w:pPr>
                    <w:jc w:val="left"/>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铁</w:t>
                  </w:r>
                  <w:r>
                    <w:rPr>
                      <w:rFonts w:hint="eastAsia"/>
                      <w:sz w:val="18"/>
                      <w:szCs w:val="18"/>
                      <w:highlight w:val="none"/>
                      <w:lang w:eastAsia="zh-CN"/>
                    </w:rPr>
                    <w:t>：Φ</w:t>
                  </w:r>
                  <w:r>
                    <w:rPr>
                      <w:rFonts w:hint="eastAsia"/>
                      <w:sz w:val="18"/>
                      <w:szCs w:val="18"/>
                      <w:highlight w:val="none"/>
                      <w:lang w:val="en-US" w:eastAsia="zh-CN"/>
                    </w:rPr>
                    <w:t>1.0</w:t>
                  </w:r>
                  <w:r>
                    <w:rPr>
                      <w:rFonts w:hint="eastAsia"/>
                      <w:sz w:val="18"/>
                      <w:szCs w:val="18"/>
                      <w:highlight w:val="none"/>
                    </w:rPr>
                    <w:t>mm</w:t>
                  </w:r>
                </w:p>
              </w:tc>
              <w:tc>
                <w:tcPr>
                  <w:tcW w:w="2048" w:type="dxa"/>
                  <w:tcBorders>
                    <w:tl2br w:val="nil"/>
                    <w:tr2bl w:val="nil"/>
                  </w:tcBorders>
                  <w:tcMar>
                    <w:left w:w="0" w:type="dxa"/>
                    <w:right w:w="0" w:type="dxa"/>
                  </w:tcMar>
                  <w:vAlign w:val="top"/>
                </w:tcPr>
                <w:p>
                  <w:pPr>
                    <w:adjustRightInd w:val="0"/>
                    <w:snapToGrid w:val="0"/>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所有产品均通过金属探测器（含有＞</w:t>
                  </w:r>
                  <w:r>
                    <w:rPr>
                      <w:rFonts w:hint="eastAsia" w:ascii="宋体"/>
                      <w:sz w:val="18"/>
                      <w:highlight w:val="none"/>
                      <w:lang w:val="en-US" w:eastAsia="zh-CN"/>
                    </w:rPr>
                    <w:t>1</w:t>
                  </w:r>
                  <w:r>
                    <w:rPr>
                      <w:rFonts w:ascii="宋体"/>
                      <w:sz w:val="18"/>
                      <w:highlight w:val="none"/>
                    </w:rPr>
                    <w:t>.0</w:t>
                  </w:r>
                  <w:r>
                    <w:rPr>
                      <w:rFonts w:hint="eastAsia" w:ascii="宋体"/>
                      <w:sz w:val="18"/>
                      <w:highlight w:val="none"/>
                    </w:rPr>
                    <w:t>mm金属异物不得通过）</w:t>
                  </w:r>
                </w:p>
              </w:tc>
              <w:tc>
                <w:tcPr>
                  <w:tcW w:w="1905" w:type="dxa"/>
                  <w:tcBorders>
                    <w:tl2br w:val="nil"/>
                    <w:tr2bl w:val="nil"/>
                  </w:tcBorders>
                  <w:tcMar>
                    <w:left w:w="0" w:type="dxa"/>
                    <w:right w:w="0" w:type="dxa"/>
                  </w:tcMar>
                  <w:vAlign w:val="center"/>
                </w:tcPr>
                <w:p>
                  <w:pPr>
                    <w:spacing w:line="192" w:lineRule="auto"/>
                    <w:jc w:val="left"/>
                    <w:rPr>
                      <w:rFonts w:hint="eastAsia"/>
                      <w:color w:val="000000"/>
                      <w:sz w:val="18"/>
                      <w:szCs w:val="18"/>
                      <w:highlight w:val="none"/>
                      <w:lang w:val="en-US" w:eastAsia="zh-CN"/>
                    </w:rPr>
                  </w:pPr>
                  <w:r>
                    <w:rPr>
                      <w:rFonts w:hint="eastAsia"/>
                      <w:color w:val="000000"/>
                      <w:sz w:val="18"/>
                      <w:szCs w:val="18"/>
                      <w:highlight w:val="none"/>
                      <w:lang w:val="en-US" w:eastAsia="zh-CN"/>
                    </w:rPr>
                    <w:t>生产人员每天、操作开始时；每2小时一次检查金属探测器存在且可操作</w:t>
                  </w:r>
                </w:p>
              </w:tc>
              <w:tc>
                <w:tcPr>
                  <w:tcW w:w="762" w:type="dxa"/>
                  <w:tcBorders>
                    <w:tl2br w:val="nil"/>
                    <w:tr2bl w:val="nil"/>
                  </w:tcBorders>
                  <w:tcMar>
                    <w:left w:w="0" w:type="dxa"/>
                    <w:right w:w="0" w:type="dxa"/>
                  </w:tcMar>
                  <w:vAlign w:val="center"/>
                </w:tcPr>
                <w:p>
                  <w:pPr>
                    <w:spacing w:line="192" w:lineRule="auto"/>
                    <w:jc w:val="left"/>
                    <w:rPr>
                      <w:rFonts w:hint="eastAsia"/>
                      <w:sz w:val="18"/>
                      <w:szCs w:val="18"/>
                      <w:highlight w:val="none"/>
                      <w:lang w:eastAsia="zh-CN"/>
                    </w:rPr>
                  </w:pPr>
                  <w:r>
                    <w:rPr>
                      <w:rFonts w:hint="eastAsia"/>
                      <w:sz w:val="18"/>
                      <w:szCs w:val="18"/>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529" w:type="dxa"/>
                  <w:tcBorders>
                    <w:tl2br w:val="nil"/>
                    <w:tr2bl w:val="nil"/>
                  </w:tcBorders>
                  <w:tcMar>
                    <w:left w:w="0" w:type="dxa"/>
                    <w:right w:w="0" w:type="dxa"/>
                  </w:tcMar>
                  <w:vAlign w:val="center"/>
                </w:tcPr>
                <w:p>
                  <w:pPr>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速冻C</w:t>
                  </w:r>
                  <w:r>
                    <w:rPr>
                      <w:rFonts w:ascii="宋体"/>
                      <w:sz w:val="18"/>
                      <w:highlight w:val="none"/>
                    </w:rPr>
                    <w:t>CP2</w:t>
                  </w:r>
                </w:p>
              </w:tc>
              <w:tc>
                <w:tcPr>
                  <w:tcW w:w="2533" w:type="dxa"/>
                  <w:tcBorders>
                    <w:tl2br w:val="nil"/>
                    <w:tr2bl w:val="nil"/>
                  </w:tcBorders>
                  <w:tcMar>
                    <w:left w:w="0" w:type="dxa"/>
                    <w:right w:w="0" w:type="dxa"/>
                  </w:tcMar>
                  <w:vAlign w:val="center"/>
                </w:tcPr>
                <w:p>
                  <w:pPr>
                    <w:jc w:val="left"/>
                    <w:rPr>
                      <w:rFonts w:hint="eastAsia" w:ascii="宋体"/>
                      <w:sz w:val="18"/>
                      <w:highlight w:val="none"/>
                    </w:rPr>
                  </w:pPr>
                  <w:r>
                    <w:rPr>
                      <w:rFonts w:ascii="宋体"/>
                      <w:sz w:val="18"/>
                      <w:highlight w:val="none"/>
                    </w:rPr>
                    <w:t>微生物</w:t>
                  </w:r>
                  <w:r>
                    <w:rPr>
                      <w:rFonts w:hint="eastAsia" w:ascii="宋体"/>
                      <w:sz w:val="18"/>
                      <w:highlight w:val="none"/>
                    </w:rPr>
                    <w:t>：</w:t>
                  </w:r>
                </w:p>
                <w:p>
                  <w:pPr>
                    <w:jc w:val="left"/>
                    <w:rPr>
                      <w:rFonts w:hint="eastAsia" w:ascii="宋体" w:hAnsi="Times New Roman" w:eastAsia="宋体" w:cs="Times New Roman"/>
                      <w:kern w:val="2"/>
                      <w:sz w:val="18"/>
                      <w:highlight w:val="none"/>
                      <w:lang w:val="en-US" w:eastAsia="zh-CN" w:bidi="ar-SA"/>
                    </w:rPr>
                  </w:pPr>
                  <w:r>
                    <w:rPr>
                      <w:rFonts w:hint="eastAsia"/>
                      <w:sz w:val="18"/>
                      <w:szCs w:val="18"/>
                      <w:highlight w:val="none"/>
                    </w:rPr>
                    <w:t>致病菌超标</w:t>
                  </w:r>
                </w:p>
              </w:tc>
              <w:tc>
                <w:tcPr>
                  <w:tcW w:w="2048" w:type="dxa"/>
                  <w:tcBorders>
                    <w:tl2br w:val="nil"/>
                    <w:tr2bl w:val="nil"/>
                  </w:tcBorders>
                  <w:tcMar>
                    <w:left w:w="0" w:type="dxa"/>
                    <w:right w:w="0" w:type="dxa"/>
                  </w:tcMar>
                  <w:vAlign w:val="center"/>
                </w:tcPr>
                <w:p>
                  <w:pPr>
                    <w:jc w:val="left"/>
                    <w:rPr>
                      <w:rFonts w:ascii="宋体"/>
                      <w:sz w:val="18"/>
                      <w:highlight w:val="none"/>
                    </w:rPr>
                  </w:pPr>
                  <w:r>
                    <w:rPr>
                      <w:rFonts w:hint="eastAsia" w:ascii="宋体"/>
                      <w:sz w:val="18"/>
                      <w:highlight w:val="none"/>
                    </w:rPr>
                    <w:t>冷冻库</w:t>
                  </w:r>
                  <w:r>
                    <w:rPr>
                      <w:rFonts w:ascii="宋体"/>
                      <w:sz w:val="18"/>
                      <w:highlight w:val="none"/>
                    </w:rPr>
                    <w:t>温度</w:t>
                  </w:r>
                  <w:r>
                    <w:rPr>
                      <w:rFonts w:hint="eastAsia" w:ascii="宋体"/>
                      <w:sz w:val="18"/>
                      <w:highlight w:val="none"/>
                    </w:rPr>
                    <w:t>≤-</w:t>
                  </w:r>
                  <w:r>
                    <w:rPr>
                      <w:rFonts w:ascii="宋体"/>
                      <w:sz w:val="18"/>
                      <w:highlight w:val="none"/>
                    </w:rPr>
                    <w:t>30</w:t>
                  </w:r>
                  <w:r>
                    <w:rPr>
                      <w:rFonts w:hint="eastAsia" w:ascii="宋体" w:hAnsi="宋体" w:cs="宋体"/>
                      <w:sz w:val="18"/>
                      <w:highlight w:val="none"/>
                    </w:rPr>
                    <w:t>℃</w:t>
                  </w:r>
                </w:p>
                <w:p>
                  <w:pPr>
                    <w:jc w:val="left"/>
                    <w:rPr>
                      <w:rFonts w:hint="eastAsia" w:ascii="宋体" w:hAnsi="Times New Roman" w:eastAsia="宋体" w:cs="Times New Roman"/>
                      <w:kern w:val="2"/>
                      <w:sz w:val="18"/>
                      <w:highlight w:val="none"/>
                      <w:lang w:val="en-US" w:eastAsia="zh-CN" w:bidi="ar-SA"/>
                    </w:rPr>
                  </w:pPr>
                  <w:r>
                    <w:rPr>
                      <w:rFonts w:hint="eastAsia" w:ascii="宋体"/>
                      <w:sz w:val="18"/>
                      <w:highlight w:val="none"/>
                    </w:rPr>
                    <w:t>冷冻</w:t>
                  </w:r>
                  <w:r>
                    <w:rPr>
                      <w:rFonts w:ascii="宋体"/>
                      <w:sz w:val="18"/>
                      <w:highlight w:val="none"/>
                    </w:rPr>
                    <w:t>时间≥</w:t>
                  </w:r>
                  <w:r>
                    <w:rPr>
                      <w:rFonts w:hint="eastAsia" w:ascii="宋体"/>
                      <w:sz w:val="18"/>
                      <w:highlight w:val="none"/>
                    </w:rPr>
                    <w:t>2</w:t>
                  </w:r>
                  <w:r>
                    <w:rPr>
                      <w:rFonts w:ascii="宋体"/>
                      <w:sz w:val="18"/>
                      <w:highlight w:val="none"/>
                    </w:rPr>
                    <w:t>40min</w:t>
                  </w:r>
                </w:p>
              </w:tc>
              <w:tc>
                <w:tcPr>
                  <w:tcW w:w="1905" w:type="dxa"/>
                  <w:tcBorders>
                    <w:tl2br w:val="nil"/>
                    <w:tr2bl w:val="nil"/>
                  </w:tcBorders>
                  <w:tcMar>
                    <w:left w:w="0" w:type="dxa"/>
                    <w:right w:w="0" w:type="dxa"/>
                  </w:tcMar>
                  <w:vAlign w:val="center"/>
                </w:tcPr>
                <w:p>
                  <w:pPr>
                    <w:spacing w:line="192" w:lineRule="auto"/>
                    <w:jc w:val="left"/>
                    <w:rPr>
                      <w:rFonts w:hint="eastAsia"/>
                      <w:color w:val="000000"/>
                      <w:sz w:val="18"/>
                      <w:szCs w:val="18"/>
                      <w:highlight w:val="none"/>
                      <w:lang w:val="en-US" w:eastAsia="zh-CN"/>
                    </w:rPr>
                  </w:pPr>
                  <w:r>
                    <w:rPr>
                      <w:rFonts w:ascii="宋体"/>
                      <w:sz w:val="18"/>
                      <w:highlight w:val="none"/>
                    </w:rPr>
                    <w:t>操作工每批</w:t>
                  </w:r>
                  <w:r>
                    <w:rPr>
                      <w:rFonts w:hint="eastAsia" w:ascii="宋体"/>
                      <w:sz w:val="18"/>
                      <w:highlight w:val="none"/>
                      <w:lang w:val="en-US" w:eastAsia="zh-CN"/>
                    </w:rPr>
                    <w:t>监控</w:t>
                  </w:r>
                  <w:r>
                    <w:rPr>
                      <w:rFonts w:ascii="宋体"/>
                      <w:sz w:val="18"/>
                      <w:highlight w:val="none"/>
                    </w:rPr>
                    <w:t>温度</w:t>
                  </w:r>
                  <w:r>
                    <w:rPr>
                      <w:rFonts w:hint="eastAsia" w:ascii="宋体"/>
                      <w:sz w:val="18"/>
                      <w:highlight w:val="none"/>
                    </w:rPr>
                    <w:t>、</w:t>
                  </w:r>
                  <w:r>
                    <w:rPr>
                      <w:rFonts w:ascii="宋体"/>
                      <w:sz w:val="18"/>
                      <w:highlight w:val="none"/>
                    </w:rPr>
                    <w:t>及时间</w:t>
                  </w:r>
                </w:p>
              </w:tc>
              <w:tc>
                <w:tcPr>
                  <w:tcW w:w="762" w:type="dxa"/>
                  <w:tcBorders>
                    <w:tl2br w:val="nil"/>
                    <w:tr2bl w:val="nil"/>
                  </w:tcBorders>
                  <w:tcMar>
                    <w:left w:w="0" w:type="dxa"/>
                    <w:right w:w="0" w:type="dxa"/>
                  </w:tcMar>
                  <w:vAlign w:val="center"/>
                </w:tcPr>
                <w:p>
                  <w:pPr>
                    <w:spacing w:line="192" w:lineRule="auto"/>
                    <w:jc w:val="left"/>
                    <w:rPr>
                      <w:rFonts w:hint="eastAsia"/>
                      <w:sz w:val="18"/>
                      <w:szCs w:val="18"/>
                      <w:highlight w:val="none"/>
                      <w:lang w:eastAsia="zh-CN"/>
                    </w:rPr>
                  </w:pPr>
                  <w:r>
                    <w:rPr>
                      <w:rFonts w:hint="eastAsia"/>
                      <w:sz w:val="18"/>
                      <w:szCs w:val="18"/>
                      <w:highlight w:val="none"/>
                      <w:lang w:val="en-US" w:eastAsia="zh-CN"/>
                    </w:rPr>
                    <w:t>3</w:t>
                  </w:r>
                </w:p>
              </w:tc>
            </w:tr>
          </w:tbl>
          <w:p>
            <w:pPr>
              <w:pStyle w:val="2"/>
              <w:rPr>
                <w:rFonts w:hint="default" w:eastAsia="方正仿宋简体"/>
                <w:lang w:val="en-US" w:eastAsia="zh-CN"/>
              </w:rPr>
            </w:pPr>
            <w:r>
              <w:rPr>
                <w:rFonts w:hint="eastAsia" w:ascii="方正仿宋简体" w:eastAsia="方正仿宋简体"/>
                <w:b/>
                <w:color w:val="FF0000"/>
                <w:sz w:val="24"/>
                <w:u w:val="single"/>
              </w:rPr>
              <w:t>查速冻过程（C</w:t>
            </w:r>
            <w:r>
              <w:rPr>
                <w:rFonts w:ascii="方正仿宋简体" w:eastAsia="方正仿宋简体"/>
                <w:b/>
                <w:color w:val="FF0000"/>
                <w:sz w:val="24"/>
                <w:u w:val="single"/>
              </w:rPr>
              <w:t>CP</w:t>
            </w:r>
            <w:r>
              <w:rPr>
                <w:rFonts w:hint="eastAsia" w:ascii="方正仿宋简体" w:eastAsia="方正仿宋简体"/>
                <w:b/>
                <w:color w:val="FF0000"/>
                <w:sz w:val="24"/>
                <w:u w:val="single"/>
              </w:rPr>
              <w:t>点）管理，抽2022.</w:t>
            </w:r>
            <w:r>
              <w:rPr>
                <w:rFonts w:ascii="方正仿宋简体" w:eastAsia="方正仿宋简体"/>
                <w:b/>
                <w:color w:val="FF0000"/>
                <w:sz w:val="24"/>
                <w:u w:val="single"/>
              </w:rPr>
              <w:t>9.17</w:t>
            </w:r>
            <w:r>
              <w:rPr>
                <w:rFonts w:hint="eastAsia" w:ascii="方正仿宋简体" w:eastAsia="方正仿宋简体"/>
                <w:b/>
                <w:color w:val="FF0000"/>
                <w:sz w:val="24"/>
                <w:u w:val="single"/>
              </w:rPr>
              <w:t>免浆黑鱼片的速冻库温度管理情况，但未按照危害控制计划提供温度时间管理证据；</w:t>
            </w:r>
            <w:r>
              <w:rPr>
                <w:rFonts w:hint="eastAsia" w:ascii="方正仿宋简体" w:eastAsia="方正仿宋简体"/>
                <w:b/>
                <w:color w:val="FF0000"/>
                <w:sz w:val="24"/>
                <w:u w:val="single"/>
                <w:lang w:val="en-US" w:eastAsia="zh-CN"/>
              </w:rPr>
              <w:t>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eastAsia="zh-CN"/>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FE"/>
            </w:r>
            <w:r>
              <w:rPr>
                <w:rFonts w:hint="eastAsia"/>
              </w:rPr>
              <w:t>未更新</w:t>
            </w:r>
            <w:r>
              <w:rPr>
                <w:rFonts w:hint="eastAsia"/>
                <w:lang w:eastAsia="zh-CN"/>
              </w:rPr>
              <w:t>（</w:t>
            </w:r>
            <w:r>
              <w:rPr>
                <w:rFonts w:hint="eastAsia"/>
                <w:lang w:val="en-US" w:eastAsia="zh-CN"/>
              </w:rPr>
              <w:t>体系建立以来未发生）</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tabs>
                <w:tab w:val="right" w:pos="3119"/>
              </w:tabs>
              <w:rPr>
                <w:rFonts w:hint="default" w:eastAsia="宋体"/>
                <w:color w:val="0000FF"/>
                <w:lang w:val="en-US" w:eastAsia="zh-CN"/>
              </w:rPr>
            </w:pPr>
            <w:r>
              <w:rPr>
                <w:rFonts w:hint="eastAsia"/>
                <w:color w:val="0000FF"/>
                <w:lang w:eastAsia="zh-CN"/>
              </w:rPr>
              <w:t>——</w:t>
            </w:r>
            <w:r>
              <w:rPr>
                <w:rFonts w:hint="eastAsia"/>
                <w:color w:val="0000FF"/>
                <w:lang w:val="en-US" w:eastAsia="zh-CN"/>
              </w:rPr>
              <w:t>体系建立以来未发生</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  电子天平、温度计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267"/>
              <w:gridCol w:w="1880"/>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r>
                    <w:rPr>
                      <w:rFonts w:hint="eastAsia"/>
                      <w:highlight w:val="none"/>
                    </w:rPr>
                    <w:t>计量器具名称</w:t>
                  </w:r>
                </w:p>
              </w:tc>
              <w:tc>
                <w:tcPr>
                  <w:tcW w:w="2267" w:type="dxa"/>
                </w:tcPr>
                <w:p>
                  <w:pPr>
                    <w:rPr>
                      <w:highlight w:val="none"/>
                    </w:rPr>
                  </w:pPr>
                  <w:r>
                    <w:rPr>
                      <w:rFonts w:hint="eastAsia"/>
                      <w:highlight w:val="none"/>
                    </w:rPr>
                    <w:t>检定或校准证书编号</w:t>
                  </w:r>
                </w:p>
              </w:tc>
              <w:tc>
                <w:tcPr>
                  <w:tcW w:w="1880" w:type="dxa"/>
                </w:tcPr>
                <w:p>
                  <w:pPr>
                    <w:rPr>
                      <w:highlight w:val="none"/>
                    </w:rPr>
                  </w:pPr>
                  <w:r>
                    <w:rPr>
                      <w:rFonts w:hint="eastAsia"/>
                      <w:highlight w:val="none"/>
                    </w:rPr>
                    <w:t>有限期限至</w:t>
                  </w:r>
                </w:p>
              </w:tc>
              <w:tc>
                <w:tcPr>
                  <w:tcW w:w="2923" w:type="dxa"/>
                </w:tcPr>
                <w:p>
                  <w:pPr>
                    <w:rPr>
                      <w:highlight w:val="none"/>
                    </w:rPr>
                  </w:pPr>
                  <w:r>
                    <w:rPr>
                      <w:rFonts w:hint="eastAsia"/>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color w:val="FF0000"/>
                      <w:highlight w:val="none"/>
                    </w:rPr>
                  </w:pPr>
                  <w:r>
                    <w:rPr>
                      <w:rFonts w:hint="eastAsia"/>
                      <w:color w:val="FF0000"/>
                      <w:highlight w:val="none"/>
                    </w:rPr>
                    <w:t>温度计</w:t>
                  </w:r>
                </w:p>
              </w:tc>
              <w:tc>
                <w:tcPr>
                  <w:tcW w:w="2267" w:type="dxa"/>
                </w:tcPr>
                <w:p>
                  <w:pPr>
                    <w:jc w:val="left"/>
                    <w:rPr>
                      <w:rFonts w:hint="default" w:eastAsia="宋体"/>
                      <w:color w:val="FF0000"/>
                      <w:highlight w:val="none"/>
                      <w:lang w:val="en-US" w:eastAsia="zh-CN"/>
                    </w:rPr>
                  </w:pPr>
                  <w:r>
                    <w:rPr>
                      <w:rFonts w:hint="eastAsia"/>
                      <w:color w:val="FF0000"/>
                      <w:highlight w:val="none"/>
                      <w:lang w:val="en-US" w:eastAsia="zh-CN"/>
                    </w:rPr>
                    <w:t>未提供检定/校准证据</w:t>
                  </w:r>
                </w:p>
              </w:tc>
              <w:tc>
                <w:tcPr>
                  <w:tcW w:w="1880" w:type="dxa"/>
                </w:tcPr>
                <w:p>
                  <w:pPr>
                    <w:rPr>
                      <w:rFonts w:hint="eastAsia" w:eastAsia="宋体"/>
                      <w:highlight w:val="none"/>
                      <w:lang w:eastAsia="zh-CN"/>
                    </w:rPr>
                  </w:pPr>
                </w:p>
              </w:tc>
              <w:tc>
                <w:tcPr>
                  <w:tcW w:w="2923" w:type="dxa"/>
                </w:tcPr>
                <w:p>
                  <w:pPr>
                    <w:rPr>
                      <w:highlight w:val="none"/>
                    </w:rPr>
                  </w:pPr>
                  <w:r>
                    <w:rPr>
                      <w:rFonts w:hint="eastAsia"/>
                      <w:highlight w:val="none"/>
                    </w:rPr>
                    <w:sym w:font="Wingdings" w:char="00FE"/>
                  </w:r>
                  <w:r>
                    <w:rPr>
                      <w:rFonts w:hint="eastAsia"/>
                      <w:highlight w:val="none"/>
                    </w:rPr>
                    <w:t xml:space="preserve">加工间 </w:t>
                  </w:r>
                  <w:r>
                    <w:rPr>
                      <w:rFonts w:hint="eastAsia"/>
                      <w:highlight w:val="none"/>
                    </w:rPr>
                    <w:sym w:font="Wingdings" w:char="00A8"/>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none"/>
                    </w:rPr>
                  </w:pPr>
                  <w:r>
                    <w:rPr>
                      <w:rFonts w:hint="eastAsia"/>
                      <w:highlight w:val="none"/>
                    </w:rPr>
                    <w:t>天子天平</w:t>
                  </w:r>
                </w:p>
              </w:tc>
              <w:tc>
                <w:tcPr>
                  <w:tcW w:w="2267" w:type="dxa"/>
                </w:tcPr>
                <w:p>
                  <w:pPr>
                    <w:rPr>
                      <w:rFonts w:hint="default" w:eastAsia="宋体"/>
                      <w:highlight w:val="none"/>
                      <w:lang w:val="en-US" w:eastAsia="zh-CN"/>
                    </w:rPr>
                  </w:pPr>
                  <w:r>
                    <w:rPr>
                      <w:rFonts w:hint="eastAsia"/>
                      <w:highlight w:val="none"/>
                      <w:lang w:val="en-US" w:eastAsia="zh-CN"/>
                    </w:rPr>
                    <w:t>420009822-002</w:t>
                  </w:r>
                </w:p>
              </w:tc>
              <w:tc>
                <w:tcPr>
                  <w:tcW w:w="1880" w:type="dxa"/>
                </w:tcPr>
                <w:p>
                  <w:pPr>
                    <w:rPr>
                      <w:rFonts w:hint="default" w:eastAsia="宋体"/>
                      <w:highlight w:val="none"/>
                      <w:lang w:val="en-US" w:eastAsia="zh-CN"/>
                    </w:rPr>
                  </w:pPr>
                  <w:r>
                    <w:rPr>
                      <w:rFonts w:hint="eastAsia"/>
                      <w:highlight w:val="none"/>
                    </w:rPr>
                    <w:t>202</w:t>
                  </w:r>
                  <w:r>
                    <w:rPr>
                      <w:rFonts w:hint="eastAsia"/>
                      <w:highlight w:val="none"/>
                      <w:lang w:val="en-US" w:eastAsia="zh-CN"/>
                    </w:rPr>
                    <w:t>3-04-13</w:t>
                  </w:r>
                </w:p>
              </w:tc>
              <w:tc>
                <w:tcPr>
                  <w:tcW w:w="2923" w:type="dxa"/>
                </w:tcPr>
                <w:p>
                  <w:pPr>
                    <w:rPr>
                      <w:highlight w:val="none"/>
                    </w:rPr>
                  </w:pPr>
                  <w:r>
                    <w:rPr>
                      <w:rFonts w:hint="eastAsia"/>
                      <w:highlight w:val="none"/>
                    </w:rPr>
                    <w:sym w:font="Wingdings" w:char="00A8"/>
                  </w:r>
                  <w:r>
                    <w:rPr>
                      <w:rFonts w:hint="eastAsia"/>
                      <w:highlight w:val="none"/>
                    </w:rPr>
                    <w:t xml:space="preserve">加工间 </w:t>
                  </w:r>
                  <w:r>
                    <w:rPr>
                      <w:rFonts w:hint="eastAsia"/>
                      <w:highlight w:val="none"/>
                    </w:rPr>
                    <w:sym w:font="Wingdings" w:char="00FE"/>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eastAsia="宋体"/>
                      <w:color w:val="FF0000"/>
                      <w:highlight w:val="none"/>
                      <w:lang w:val="en-US" w:eastAsia="zh-CN"/>
                    </w:rPr>
                  </w:pPr>
                  <w:r>
                    <w:rPr>
                      <w:rFonts w:hint="eastAsia"/>
                      <w:color w:val="FF0000"/>
                      <w:highlight w:val="none"/>
                    </w:rPr>
                    <w:t>电子秤A</w:t>
                  </w:r>
                  <w:r>
                    <w:rPr>
                      <w:color w:val="FF0000"/>
                      <w:highlight w:val="none"/>
                    </w:rPr>
                    <w:t>CS-</w:t>
                  </w:r>
                  <w:r>
                    <w:rPr>
                      <w:rFonts w:hint="eastAsia"/>
                      <w:color w:val="FF0000"/>
                      <w:highlight w:val="none"/>
                      <w:lang w:val="en-US" w:eastAsia="zh-CN"/>
                    </w:rPr>
                    <w:t>30-988</w:t>
                  </w:r>
                </w:p>
              </w:tc>
              <w:tc>
                <w:tcPr>
                  <w:tcW w:w="2267" w:type="dxa"/>
                </w:tcPr>
                <w:p>
                  <w:pPr>
                    <w:rPr>
                      <w:rFonts w:hint="default" w:eastAsia="宋体"/>
                      <w:color w:val="FF0000"/>
                      <w:highlight w:val="none"/>
                      <w:lang w:val="en-US" w:eastAsia="zh-CN"/>
                    </w:rPr>
                  </w:pPr>
                  <w:r>
                    <w:rPr>
                      <w:rFonts w:hint="eastAsia"/>
                      <w:color w:val="FF0000"/>
                      <w:highlight w:val="none"/>
                      <w:lang w:val="en-US" w:eastAsia="zh-CN"/>
                    </w:rPr>
                    <w:t>未提供检定/校准证据</w:t>
                  </w:r>
                </w:p>
              </w:tc>
              <w:tc>
                <w:tcPr>
                  <w:tcW w:w="1880" w:type="dxa"/>
                </w:tcPr>
                <w:p>
                  <w:pPr>
                    <w:rPr>
                      <w:highlight w:val="none"/>
                    </w:rPr>
                  </w:pPr>
                </w:p>
              </w:tc>
              <w:tc>
                <w:tcPr>
                  <w:tcW w:w="2923" w:type="dxa"/>
                </w:tcPr>
                <w:p>
                  <w:pPr>
                    <w:rPr>
                      <w:highlight w:val="none"/>
                    </w:rPr>
                  </w:pPr>
                  <w:r>
                    <w:rPr>
                      <w:rFonts w:hint="eastAsia"/>
                      <w:highlight w:val="none"/>
                    </w:rPr>
                    <w:sym w:font="Wingdings" w:char="00FE"/>
                  </w:r>
                  <w:r>
                    <w:rPr>
                      <w:rFonts w:hint="eastAsia"/>
                      <w:highlight w:val="none"/>
                      <w:lang w:val="en-US" w:eastAsia="zh-CN"/>
                    </w:rPr>
                    <w:t>添加剂库</w:t>
                  </w:r>
                  <w:r>
                    <w:rPr>
                      <w:rFonts w:hint="eastAsia"/>
                      <w:highlight w:val="none"/>
                    </w:rPr>
                    <w:t xml:space="preserve"> </w:t>
                  </w:r>
                  <w:r>
                    <w:rPr>
                      <w:rFonts w:hint="eastAsia"/>
                      <w:highlight w:val="none"/>
                    </w:rPr>
                    <w:sym w:font="Wingdings" w:char="00A8"/>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highlight w:val="yellow"/>
                    </w:rPr>
                  </w:pPr>
                </w:p>
              </w:tc>
              <w:tc>
                <w:tcPr>
                  <w:tcW w:w="2267" w:type="dxa"/>
                </w:tcPr>
                <w:p>
                  <w:pPr>
                    <w:rPr>
                      <w:highlight w:val="yellow"/>
                    </w:rPr>
                  </w:pPr>
                </w:p>
              </w:tc>
              <w:tc>
                <w:tcPr>
                  <w:tcW w:w="1880" w:type="dxa"/>
                </w:tcPr>
                <w:p>
                  <w:pPr>
                    <w:rPr>
                      <w:highlight w:val="yellow"/>
                    </w:rPr>
                  </w:pPr>
                </w:p>
              </w:tc>
              <w:tc>
                <w:tcPr>
                  <w:tcW w:w="2923" w:type="dxa"/>
                </w:tcPr>
                <w:p>
                  <w:pPr>
                    <w:rPr>
                      <w:highlight w:val="yellow"/>
                    </w:rPr>
                  </w:pPr>
                </w:p>
              </w:tc>
            </w:tr>
          </w:tbl>
          <w:p>
            <w:pPr>
              <w:spacing w:before="120" w:line="276" w:lineRule="auto"/>
              <w:ind w:firstLine="481"/>
              <w:rPr>
                <w:rFonts w:hint="eastAsia" w:ascii="方正仿宋简体" w:eastAsia="方正仿宋简体"/>
                <w:b/>
                <w:color w:val="FF0000"/>
                <w:sz w:val="21"/>
                <w:szCs w:val="21"/>
                <w:lang w:val="en-US" w:eastAsia="zh-CN"/>
              </w:rPr>
            </w:pPr>
            <w:r>
              <w:rPr>
                <w:rFonts w:hint="eastAsia" w:ascii="方正仿宋简体" w:eastAsia="方正仿宋简体"/>
                <w:b/>
                <w:color w:val="FF0000"/>
                <w:sz w:val="21"/>
                <w:szCs w:val="21"/>
                <w:lang w:val="en-US" w:eastAsia="zh-CN"/>
              </w:rPr>
              <w:t>查计量器具管理情况发现：</w:t>
            </w:r>
          </w:p>
          <w:p>
            <w:pPr>
              <w:numPr>
                <w:ilvl w:val="0"/>
                <w:numId w:val="5"/>
              </w:numPr>
              <w:spacing w:before="120" w:line="276" w:lineRule="auto"/>
              <w:ind w:firstLine="481"/>
              <w:rPr>
                <w:rFonts w:hint="eastAsia" w:ascii="方正仿宋简体" w:eastAsia="方正仿宋简体"/>
                <w:b/>
                <w:color w:val="FF0000"/>
                <w:sz w:val="21"/>
                <w:szCs w:val="21"/>
                <w:lang w:val="en-US" w:eastAsia="zh-CN"/>
              </w:rPr>
            </w:pPr>
            <w:r>
              <w:rPr>
                <w:rFonts w:hint="eastAsia" w:ascii="方正仿宋简体" w:eastAsia="方正仿宋简体"/>
                <w:b/>
                <w:color w:val="FF0000"/>
                <w:sz w:val="21"/>
                <w:szCs w:val="21"/>
                <w:lang w:val="en-US" w:eastAsia="zh-CN"/>
              </w:rPr>
              <w:t>未提供称量添加剂使用的电子秤（型号</w:t>
            </w:r>
            <w:r>
              <w:rPr>
                <w:rFonts w:hint="eastAsia"/>
                <w:color w:val="FF0000"/>
                <w:sz w:val="21"/>
                <w:szCs w:val="21"/>
                <w:highlight w:val="none"/>
              </w:rPr>
              <w:t>A</w:t>
            </w:r>
            <w:r>
              <w:rPr>
                <w:color w:val="FF0000"/>
                <w:sz w:val="21"/>
                <w:szCs w:val="21"/>
                <w:highlight w:val="none"/>
              </w:rPr>
              <w:t>CS-</w:t>
            </w:r>
            <w:r>
              <w:rPr>
                <w:rFonts w:hint="eastAsia"/>
                <w:color w:val="FF0000"/>
                <w:sz w:val="21"/>
                <w:szCs w:val="21"/>
                <w:highlight w:val="none"/>
                <w:lang w:val="en-US" w:eastAsia="zh-CN"/>
              </w:rPr>
              <w:t>30-988</w:t>
            </w:r>
            <w:r>
              <w:rPr>
                <w:rFonts w:hint="eastAsia" w:ascii="方正仿宋简体" w:eastAsia="方正仿宋简体"/>
                <w:b/>
                <w:color w:val="FF0000"/>
                <w:sz w:val="21"/>
                <w:szCs w:val="21"/>
                <w:lang w:val="en-US" w:eastAsia="zh-CN"/>
              </w:rPr>
              <w:t>）的检定/校准证据；</w:t>
            </w:r>
          </w:p>
          <w:p>
            <w:pPr>
              <w:numPr>
                <w:ilvl w:val="0"/>
                <w:numId w:val="5"/>
              </w:numPr>
              <w:spacing w:before="120" w:line="276" w:lineRule="auto"/>
              <w:ind w:firstLine="481"/>
              <w:rPr>
                <w:rFonts w:hint="default" w:ascii="方正仿宋简体" w:eastAsia="方正仿宋简体"/>
                <w:b/>
                <w:color w:val="FF0000"/>
                <w:sz w:val="21"/>
                <w:szCs w:val="21"/>
                <w:lang w:val="en-US" w:eastAsia="zh-CN"/>
              </w:rPr>
            </w:pPr>
            <w:r>
              <w:rPr>
                <w:rFonts w:hint="eastAsia" w:ascii="方正仿宋简体" w:eastAsia="方正仿宋简体"/>
                <w:b/>
                <w:color w:val="FF0000"/>
                <w:sz w:val="21"/>
                <w:szCs w:val="21"/>
                <w:lang w:val="en-US" w:eastAsia="zh-CN"/>
              </w:rPr>
              <w:t>未提供温度计的检定/校准证据；见不符合项报告03</w:t>
            </w:r>
          </w:p>
          <w:p>
            <w:pPr>
              <w:spacing w:before="120" w:line="360" w:lineRule="auto"/>
              <w:rPr>
                <w:rFonts w:hint="eastAsia" w:ascii="方正仿宋简体" w:eastAsia="方正仿宋简体"/>
                <w:b/>
                <w:color w:val="FF0000"/>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 xml:space="preserve">27 </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 xml:space="preserve">27 </w:t>
            </w:r>
            <w:r>
              <w:rPr>
                <w:rFonts w:hint="eastAsia"/>
                <w:color w:val="0000FF"/>
                <w:szCs w:val="21"/>
              </w:rPr>
              <w:t>日，进行验证了危害控制计划。</w:t>
            </w:r>
          </w:p>
          <w:p>
            <w:pPr>
              <w:pStyle w:val="2"/>
              <w:rPr>
                <w:rFonts w:hint="default" w:eastAsia="宋体"/>
                <w:u w:val="single"/>
                <w:lang w:val="en-US" w:eastAsia="zh-CN"/>
              </w:rPr>
            </w:pPr>
            <w:r>
              <w:rPr>
                <w:rFonts w:hint="eastAsia"/>
                <w:color w:val="0000FF"/>
                <w:szCs w:val="21"/>
                <w:u w:val="single"/>
                <w:lang w:val="en-US" w:eastAsia="zh-CN"/>
              </w:rPr>
              <w:t>验证结果分析报告 2022-11-04</w:t>
            </w:r>
          </w:p>
          <w:p>
            <w:pPr>
              <w:spacing w:before="120" w:line="276" w:lineRule="auto"/>
              <w:ind w:firstLine="481"/>
              <w:rPr>
                <w:rFonts w:hint="default" w:ascii="方正仿宋简体" w:eastAsia="方正仿宋简体"/>
                <w:b/>
                <w:color w:val="FF0000"/>
                <w:sz w:val="24"/>
                <w:lang w:val="en-US" w:eastAsia="zh-CN"/>
              </w:rPr>
            </w:pPr>
            <w:r>
              <w:rPr>
                <w:rFonts w:hint="eastAsia" w:ascii="方正仿宋简体" w:eastAsia="方正仿宋简体"/>
                <w:b/>
                <w:color w:val="FF0000"/>
                <w:sz w:val="24"/>
                <w:lang w:val="en-US" w:eastAsia="zh-CN"/>
              </w:rPr>
              <w:t>查安全性验证情况发现：未提供生产加工用水的检测证据。见不符合项04</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rPr>
                <w:rFonts w:hint="default" w:eastAsia="宋体"/>
                <w:lang w:val="en-US" w:eastAsia="zh-CN"/>
              </w:rPr>
            </w:pPr>
            <w:r>
              <w:t>组织确保由有能力并有权发起纠正和纠正措施的指定人员进行评估OPRP和CCPs监测的数据。</w:t>
            </w:r>
            <w:r>
              <w:rPr>
                <w:rFonts w:hint="eastAsia"/>
                <w:lang w:eastAsia="zh-CN"/>
              </w:rPr>
              <w:t>—</w:t>
            </w:r>
            <w:r>
              <w:rPr>
                <w:rFonts w:hint="eastAsia"/>
                <w:color w:val="0000FF"/>
                <w:lang w:eastAsia="zh-CN"/>
              </w:rPr>
              <w:t>—</w:t>
            </w:r>
            <w:r>
              <w:rPr>
                <w:rFonts w:hint="eastAsia"/>
                <w:color w:val="0000FF"/>
                <w:lang w:val="en-US" w:eastAsia="zh-CN"/>
              </w:rPr>
              <w:t>食品安全小组组长或总经理</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rPr>
                <w:rFonts w:hint="default" w:eastAsia="宋体"/>
                <w:lang w:val="en-US" w:eastAsia="zh-CN"/>
              </w:rPr>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r>
              <w:rPr>
                <w:rFonts w:hint="eastAsia"/>
                <w:lang w:eastAsia="zh-CN"/>
              </w:rPr>
              <w:t>—</w:t>
            </w:r>
            <w:r>
              <w:rPr>
                <w:rFonts w:hint="eastAsia"/>
                <w:color w:val="0000FF"/>
                <w:lang w:eastAsia="zh-CN"/>
              </w:rPr>
              <w:t>—</w:t>
            </w:r>
            <w:r>
              <w:rPr>
                <w:rFonts w:hint="eastAsia"/>
                <w:color w:val="0000FF"/>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rFonts w:hint="eastAsia"/>
                <w:szCs w:val="21"/>
              </w:rPr>
            </w:pPr>
            <w:r>
              <w:rPr>
                <w:rFonts w:hint="eastAsia"/>
                <w:color w:val="0000FF"/>
                <w:szCs w:val="21"/>
                <w:lang w:eastAsia="zh-CN"/>
              </w:rPr>
              <w:t>——</w:t>
            </w:r>
            <w:r>
              <w:rPr>
                <w:rFonts w:hint="eastAsia"/>
                <w:color w:val="0000FF"/>
                <w:szCs w:val="21"/>
                <w:lang w:val="en-US" w:eastAsia="zh-CN"/>
              </w:rPr>
              <w:t>详见《撤回控制程序》</w:t>
            </w:r>
          </w:p>
          <w:p>
            <w:pPr>
              <w:rPr>
                <w:rFonts w:hint="default" w:eastAsia="宋体"/>
                <w:szCs w:val="21"/>
                <w:lang w:val="en-US" w:eastAsia="zh-CN"/>
              </w:rPr>
            </w:pPr>
            <w:r>
              <w:rPr>
                <w:rFonts w:hint="eastAsia"/>
                <w:szCs w:val="21"/>
              </w:rPr>
              <w:t>实际发生的产品召回记录。</w:t>
            </w:r>
            <w:r>
              <w:rPr>
                <w:rFonts w:hint="eastAsia"/>
                <w:color w:val="0000FF"/>
                <w:szCs w:val="21"/>
                <w:lang w:eastAsia="zh-CN"/>
              </w:rPr>
              <w:t>——</w:t>
            </w:r>
            <w:r>
              <w:rPr>
                <w:rFonts w:hint="eastAsia"/>
                <w:color w:val="0000FF"/>
                <w:szCs w:val="21"/>
                <w:lang w:val="en-US" w:eastAsia="zh-CN"/>
              </w:rPr>
              <w:t>审核周期内未发生</w:t>
            </w:r>
          </w:p>
          <w:p>
            <w:pPr>
              <w:rPr>
                <w:rFonts w:hint="eastAsia"/>
              </w:rPr>
            </w:pPr>
            <w:r>
              <w:rPr>
                <w:rFonts w:hint="eastAsia"/>
              </w:rPr>
              <w:t>召回的原因分析，采取纠正措施。</w:t>
            </w:r>
          </w:p>
          <w:p>
            <w:r>
              <w:rPr>
                <w:rFonts w:hint="eastAsia"/>
              </w:rPr>
              <w:t>以下投诉</w:t>
            </w:r>
            <w:r>
              <w:rPr>
                <w:rFonts w:hint="eastAsia"/>
                <w:lang w:val="en-US" w:eastAsia="zh-CN"/>
              </w:rPr>
              <w:t>或</w:t>
            </w:r>
            <w:r>
              <w:rPr>
                <w:rFonts w:hint="eastAsia"/>
              </w:rPr>
              <w:t>被抽查：</w:t>
            </w:r>
            <w:r>
              <w:rPr>
                <w:rFonts w:hint="eastAsia"/>
                <w:color w:val="0000FF"/>
                <w:szCs w:val="21"/>
                <w:lang w:eastAsia="zh-CN"/>
              </w:rPr>
              <w:t>——</w:t>
            </w:r>
            <w:r>
              <w:rPr>
                <w:rFonts w:hint="eastAsia"/>
                <w:color w:val="0000FF"/>
                <w:szCs w:val="21"/>
                <w:lang w:val="en-US" w:eastAsia="zh-CN"/>
              </w:rPr>
              <w:t>审核周期内未发生</w:t>
            </w:r>
            <w:r>
              <w:rPr>
                <w:rFonts w:hint="eastAsia"/>
              </w:rPr>
              <w:t xml:space="preserve">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lang w:val="en-US" w:eastAsia="zh-CN"/>
              </w:rPr>
              <w:t>公司组织了召回演练，抽查</w:t>
            </w: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lang w:val="en-US" w:eastAsia="zh-CN"/>
              </w:rPr>
              <w:t xml:space="preserve"> </w:t>
            </w:r>
            <w:r>
              <w:rPr>
                <w:rFonts w:hint="eastAsia"/>
                <w:color w:val="0000FF"/>
                <w:szCs w:val="21"/>
                <w:u w:val="single"/>
                <w:lang w:val="en-US" w:eastAsia="zh-CN"/>
              </w:rPr>
              <w:t>8</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szCs w:val="21"/>
                <w:u w:val="single"/>
                <w:lang w:val="en-US" w:eastAsia="zh-CN"/>
              </w:rPr>
              <w:t xml:space="preserve"> </w:t>
            </w:r>
            <w:r>
              <w:rPr>
                <w:rFonts w:hint="eastAsia"/>
                <w:color w:val="0000FF"/>
                <w:szCs w:val="21"/>
                <w:u w:val="single"/>
                <w:lang w:val="en-US" w:eastAsia="zh-CN"/>
              </w:rPr>
              <w:t>免浆墨鱼片感官异常，有异味（模拟）</w:t>
            </w:r>
            <w:r>
              <w:rPr>
                <w:rFonts w:hint="eastAsia"/>
                <w:szCs w:val="21"/>
                <w:u w:val="single"/>
              </w:rPr>
              <w:t xml:space="preserve">  </w:t>
            </w:r>
            <w:r>
              <w:rPr>
                <w:rFonts w:hint="eastAsia"/>
                <w:szCs w:val="21"/>
              </w:rPr>
              <w:t>，批号</w:t>
            </w:r>
            <w:r>
              <w:rPr>
                <w:rFonts w:hint="eastAsia"/>
                <w:szCs w:val="21"/>
                <w:u w:val="single"/>
              </w:rPr>
              <w:t xml:space="preserve">   </w:t>
            </w:r>
            <w:r>
              <w:rPr>
                <w:rFonts w:hint="eastAsia"/>
                <w:color w:val="0000FF"/>
                <w:szCs w:val="21"/>
                <w:u w:val="single"/>
                <w:lang w:val="en-US" w:eastAsia="zh-CN"/>
              </w:rPr>
              <w:t>2022-06-12</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FE"/>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0"/>
              </w:numPr>
              <w:shd w:val="clear" w:color="auto" w:fill="F4B8FF"/>
              <w:ind w:leftChars="0"/>
            </w:pPr>
            <w:r>
              <w:rPr>
                <w:rFonts w:hint="eastAsia"/>
                <w:lang w:eastAsia="zh-CN"/>
              </w:rPr>
              <w:sym w:font="Wingdings 2" w:char="0052"/>
            </w:r>
            <w:r>
              <w:rPr>
                <w:rFonts w:hint="eastAsia"/>
              </w:rPr>
              <w:t>PRP和危害控制计划</w:t>
            </w:r>
          </w:p>
          <w:p>
            <w:pPr>
              <w:numPr>
                <w:ilvl w:val="0"/>
                <w:numId w:val="0"/>
              </w:numPr>
              <w:shd w:val="clear" w:color="auto" w:fill="F4B8FF"/>
              <w:ind w:leftChars="0"/>
            </w:pPr>
            <w:r>
              <w:rPr>
                <w:rFonts w:hint="eastAsia"/>
                <w:lang w:eastAsia="zh-CN"/>
              </w:rPr>
              <w:sym w:font="Wingdings 2" w:char="0052"/>
            </w:r>
            <w:r>
              <w:rPr>
                <w:rFonts w:hint="eastAsia"/>
              </w:rPr>
              <w:t>内部审核的结果</w:t>
            </w:r>
          </w:p>
          <w:p>
            <w:pPr>
              <w:numPr>
                <w:ilvl w:val="0"/>
                <w:numId w:val="0"/>
              </w:numPr>
              <w:shd w:val="clear" w:color="auto" w:fill="F4B8FF"/>
              <w:ind w:leftChars="0"/>
            </w:pPr>
            <w:r>
              <w:rPr>
                <w:rFonts w:hint="eastAsia"/>
                <w:lang w:eastAsia="zh-CN"/>
              </w:rPr>
              <w:t>□</w:t>
            </w:r>
            <w:r>
              <w:rPr>
                <w:rFonts w:hint="eastAsia"/>
              </w:rPr>
              <w:t>外部审核的结果</w:t>
            </w:r>
            <w:r>
              <w:rPr>
                <w:rFonts w:hint="eastAsia"/>
                <w:lang w:eastAsia="zh-CN"/>
              </w:rPr>
              <w:t>——</w:t>
            </w:r>
            <w:r>
              <w:rPr>
                <w:rFonts w:hint="eastAsia"/>
                <w:lang w:val="en-US" w:eastAsia="zh-CN"/>
              </w:rPr>
              <w:t>初次导入体系还未发生</w:t>
            </w:r>
            <w:r>
              <w:rPr>
                <w:rFonts w:hint="eastAsia"/>
              </w:rPr>
              <w:t>。</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1-2</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lang w:eastAsia="zh-CN"/>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rPr>
                <w:rFonts w:hint="eastAsia" w:eastAsia="宋体"/>
                <w:lang w:eastAsia="zh-CN"/>
              </w:rPr>
            </w:pPr>
            <w:r>
              <w:rPr>
                <w:rFonts w:hint="eastAsia"/>
                <w:lang w:eastAsia="zh-CN"/>
              </w:rPr>
              <w:t>□</w:t>
            </w:r>
            <w:r>
              <w:rPr>
                <w:rFonts w:hint="eastAsia"/>
              </w:rPr>
              <w:t>对所有班次的现场操作已审核。</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 xml:space="preserve">6 </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w:t>
            </w:r>
            <w:r>
              <w:rPr>
                <w:rFonts w:hint="eastAsia"/>
                <w:lang w:eastAsia="zh-CN"/>
              </w:rPr>
              <w:t>□</w:t>
            </w:r>
            <w:r>
              <w:rPr>
                <w:rFonts w:hint="eastAsia"/>
              </w:rPr>
              <w:t xml:space="preserve">自我验证的结果 </w:t>
            </w:r>
            <w:r>
              <w:rPr>
                <w:rFonts w:hint="eastAsia"/>
                <w:lang w:eastAsia="zh-CN"/>
              </w:rPr>
              <w:t>□</w:t>
            </w:r>
            <w:r>
              <w:rPr>
                <w:rFonts w:hint="eastAsia"/>
              </w:rPr>
              <w:t xml:space="preserve">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w:t>
            </w:r>
            <w:r>
              <w:rPr>
                <w:rFonts w:hint="eastAsia"/>
                <w:lang w:eastAsia="zh-CN"/>
              </w:rPr>
              <w:sym w:font="Wingdings 2" w:char="0052"/>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标准条款</w:t>
            </w:r>
          </w:p>
        </w:tc>
        <w:tc>
          <w:tcPr>
            <w:tcW w:w="608" w:type="dxa"/>
            <w:vAlign w:val="center"/>
          </w:tcPr>
          <w:p>
            <w:pPr>
              <w:shd w:val="clear" w:color="auto" w:fill="F4B8FF"/>
              <w:rPr>
                <w:highlight w:val="none"/>
                <w:lang w:eastAsia="ja-JP"/>
              </w:rPr>
            </w:pPr>
            <w:r>
              <w:rPr>
                <w:rFonts w:hint="eastAsia"/>
                <w:highlight w:val="none"/>
              </w:rPr>
              <w:t>4.1</w:t>
            </w:r>
          </w:p>
        </w:tc>
        <w:tc>
          <w:tcPr>
            <w:tcW w:w="630" w:type="dxa"/>
            <w:vAlign w:val="center"/>
          </w:tcPr>
          <w:p>
            <w:pPr>
              <w:shd w:val="clear" w:color="auto" w:fill="F4B8FF"/>
              <w:rPr>
                <w:highlight w:val="none"/>
                <w:lang w:eastAsia="ja-JP"/>
              </w:rPr>
            </w:pPr>
            <w:r>
              <w:rPr>
                <w:rFonts w:hint="eastAsia"/>
                <w:highlight w:val="none"/>
              </w:rPr>
              <w:t>4.2</w:t>
            </w:r>
          </w:p>
        </w:tc>
        <w:tc>
          <w:tcPr>
            <w:tcW w:w="615" w:type="dxa"/>
            <w:vAlign w:val="center"/>
          </w:tcPr>
          <w:p>
            <w:pPr>
              <w:shd w:val="clear" w:color="auto" w:fill="F4B8FF"/>
              <w:rPr>
                <w:highlight w:val="none"/>
                <w:lang w:eastAsia="ja-JP"/>
              </w:rPr>
            </w:pPr>
            <w:r>
              <w:rPr>
                <w:rFonts w:hint="eastAsia"/>
                <w:highlight w:val="none"/>
              </w:rPr>
              <w:t>4.3</w:t>
            </w:r>
          </w:p>
        </w:tc>
        <w:tc>
          <w:tcPr>
            <w:tcW w:w="645" w:type="dxa"/>
            <w:vAlign w:val="center"/>
          </w:tcPr>
          <w:p>
            <w:pPr>
              <w:shd w:val="clear" w:color="auto" w:fill="F4B8FF"/>
              <w:rPr>
                <w:highlight w:val="none"/>
                <w:lang w:eastAsia="ja-JP"/>
              </w:rPr>
            </w:pPr>
            <w:r>
              <w:rPr>
                <w:rFonts w:hint="eastAsia"/>
                <w:highlight w:val="none"/>
              </w:rPr>
              <w:t>4.4</w:t>
            </w:r>
          </w:p>
        </w:tc>
        <w:tc>
          <w:tcPr>
            <w:tcW w:w="637" w:type="dxa"/>
            <w:vAlign w:val="center"/>
          </w:tcPr>
          <w:p>
            <w:pPr>
              <w:shd w:val="clear" w:color="auto" w:fill="F4B8FF"/>
              <w:rPr>
                <w:highlight w:val="none"/>
                <w:lang w:eastAsia="ja-JP"/>
              </w:rPr>
            </w:pPr>
            <w:r>
              <w:rPr>
                <w:rFonts w:hint="eastAsia"/>
                <w:highlight w:val="none"/>
              </w:rPr>
              <w:t>5.1</w:t>
            </w:r>
          </w:p>
        </w:tc>
        <w:tc>
          <w:tcPr>
            <w:tcW w:w="623" w:type="dxa"/>
            <w:vAlign w:val="center"/>
          </w:tcPr>
          <w:p>
            <w:pPr>
              <w:shd w:val="clear" w:color="auto" w:fill="F4B8FF"/>
              <w:rPr>
                <w:highlight w:val="none"/>
                <w:lang w:eastAsia="ja-JP"/>
              </w:rPr>
            </w:pPr>
            <w:r>
              <w:rPr>
                <w:rFonts w:hint="eastAsia"/>
                <w:highlight w:val="none"/>
              </w:rPr>
              <w:t>5.2</w:t>
            </w:r>
          </w:p>
        </w:tc>
        <w:tc>
          <w:tcPr>
            <w:tcW w:w="637" w:type="dxa"/>
            <w:vAlign w:val="center"/>
          </w:tcPr>
          <w:p>
            <w:pPr>
              <w:shd w:val="clear" w:color="auto" w:fill="F4B8FF"/>
              <w:rPr>
                <w:highlight w:val="none"/>
                <w:lang w:eastAsia="ja-JP"/>
              </w:rPr>
            </w:pPr>
            <w:r>
              <w:rPr>
                <w:rFonts w:hint="eastAsia"/>
                <w:highlight w:val="none"/>
              </w:rPr>
              <w:t>5.3</w:t>
            </w:r>
          </w:p>
        </w:tc>
        <w:tc>
          <w:tcPr>
            <w:tcW w:w="688" w:type="dxa"/>
            <w:vAlign w:val="center"/>
          </w:tcPr>
          <w:p>
            <w:pPr>
              <w:shd w:val="clear" w:color="auto" w:fill="F4B8FF"/>
              <w:rPr>
                <w:highlight w:val="none"/>
                <w:lang w:eastAsia="ja-JP"/>
              </w:rPr>
            </w:pPr>
            <w:r>
              <w:rPr>
                <w:rFonts w:hint="eastAsia"/>
                <w:highlight w:val="none"/>
              </w:rPr>
              <w:t>6.1</w:t>
            </w:r>
          </w:p>
        </w:tc>
        <w:tc>
          <w:tcPr>
            <w:tcW w:w="600" w:type="dxa"/>
            <w:vAlign w:val="center"/>
          </w:tcPr>
          <w:p>
            <w:pPr>
              <w:shd w:val="clear" w:color="auto" w:fill="F4B8FF"/>
              <w:rPr>
                <w:highlight w:val="none"/>
              </w:rPr>
            </w:pPr>
            <w:r>
              <w:rPr>
                <w:rFonts w:hint="eastAsia"/>
                <w:highlight w:val="none"/>
              </w:rPr>
              <w:t>6.2</w:t>
            </w:r>
          </w:p>
        </w:tc>
        <w:tc>
          <w:tcPr>
            <w:tcW w:w="587" w:type="dxa"/>
            <w:vAlign w:val="center"/>
          </w:tcPr>
          <w:p>
            <w:pPr>
              <w:shd w:val="clear" w:color="auto" w:fill="F4B8FF"/>
              <w:rPr>
                <w:highlight w:val="none"/>
              </w:rPr>
            </w:pPr>
            <w:r>
              <w:rPr>
                <w:rFonts w:hint="eastAsia"/>
                <w:highlight w:val="none"/>
              </w:rPr>
              <w:t>6.3</w:t>
            </w:r>
          </w:p>
        </w:tc>
        <w:tc>
          <w:tcPr>
            <w:tcW w:w="650" w:type="dxa"/>
            <w:vAlign w:val="center"/>
          </w:tcPr>
          <w:p>
            <w:pPr>
              <w:shd w:val="clear" w:color="auto" w:fill="F4B8FF"/>
              <w:rPr>
                <w:highlight w:val="none"/>
                <w:lang w:eastAsia="ja-JP"/>
              </w:rPr>
            </w:pPr>
          </w:p>
        </w:tc>
        <w:tc>
          <w:tcPr>
            <w:tcW w:w="649" w:type="dxa"/>
            <w:vAlign w:val="center"/>
          </w:tcPr>
          <w:p>
            <w:pPr>
              <w:shd w:val="clear" w:color="auto" w:fill="F4B8FF"/>
              <w:rPr>
                <w:highlight w:val="none"/>
                <w:lang w:eastAsia="ja-JP"/>
              </w:rPr>
            </w:pPr>
          </w:p>
        </w:tc>
        <w:tc>
          <w:tcPr>
            <w:tcW w:w="650" w:type="dxa"/>
            <w:shd w:val="clear" w:color="auto" w:fill="BFBFBF"/>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评价*)</w:t>
            </w:r>
          </w:p>
        </w:tc>
        <w:tc>
          <w:tcPr>
            <w:tcW w:w="608" w:type="dxa"/>
            <w:vAlign w:val="center"/>
          </w:tcPr>
          <w:p>
            <w:pPr>
              <w:shd w:val="clear" w:color="auto" w:fill="F4B8FF"/>
              <w:rPr>
                <w:rFonts w:hint="eastAsia" w:eastAsia="宋体"/>
                <w:highlight w:val="none"/>
                <w:lang w:val="en-US" w:eastAsia="zh-CN"/>
              </w:rPr>
            </w:pPr>
            <w:r>
              <w:rPr>
                <w:rFonts w:hint="eastAsia"/>
                <w:highlight w:val="none"/>
                <w:lang w:val="en-US" w:eastAsia="zh-CN"/>
              </w:rPr>
              <w:t>1</w:t>
            </w:r>
          </w:p>
        </w:tc>
        <w:tc>
          <w:tcPr>
            <w:tcW w:w="630" w:type="dxa"/>
            <w:vAlign w:val="center"/>
          </w:tcPr>
          <w:p>
            <w:pPr>
              <w:shd w:val="clear" w:color="auto" w:fill="F4B8FF"/>
              <w:rPr>
                <w:highlight w:val="none"/>
                <w:lang w:eastAsia="ja-JP"/>
              </w:rPr>
            </w:pPr>
            <w:r>
              <w:rPr>
                <w:rFonts w:hint="eastAsia"/>
                <w:highlight w:val="none"/>
                <w:lang w:val="en-US" w:eastAsia="zh-CN"/>
              </w:rPr>
              <w:t>1</w:t>
            </w:r>
          </w:p>
        </w:tc>
        <w:tc>
          <w:tcPr>
            <w:tcW w:w="615" w:type="dxa"/>
            <w:vAlign w:val="center"/>
          </w:tcPr>
          <w:p>
            <w:pPr>
              <w:shd w:val="clear" w:color="auto" w:fill="F4B8FF"/>
              <w:rPr>
                <w:highlight w:val="none"/>
                <w:lang w:eastAsia="ja-JP"/>
              </w:rPr>
            </w:pPr>
            <w:r>
              <w:rPr>
                <w:rFonts w:hint="eastAsia"/>
                <w:highlight w:val="none"/>
                <w:lang w:val="en-US" w:eastAsia="zh-CN"/>
              </w:rPr>
              <w:t>1</w:t>
            </w:r>
          </w:p>
        </w:tc>
        <w:tc>
          <w:tcPr>
            <w:tcW w:w="645"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23"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88" w:type="dxa"/>
            <w:vAlign w:val="center"/>
          </w:tcPr>
          <w:p>
            <w:pPr>
              <w:shd w:val="clear" w:color="auto" w:fill="F4B8FF"/>
              <w:rPr>
                <w:highlight w:val="none"/>
                <w:lang w:eastAsia="ja-JP"/>
              </w:rPr>
            </w:pPr>
            <w:r>
              <w:rPr>
                <w:rFonts w:hint="eastAsia"/>
                <w:highlight w:val="none"/>
                <w:lang w:val="en-US" w:eastAsia="zh-CN"/>
              </w:rPr>
              <w:t>1</w:t>
            </w:r>
          </w:p>
        </w:tc>
        <w:tc>
          <w:tcPr>
            <w:tcW w:w="600" w:type="dxa"/>
            <w:vAlign w:val="center"/>
          </w:tcPr>
          <w:p>
            <w:pPr>
              <w:shd w:val="clear" w:color="auto" w:fill="F4B8FF"/>
              <w:rPr>
                <w:highlight w:val="none"/>
                <w:lang w:eastAsia="ja-JP"/>
              </w:rPr>
            </w:pPr>
            <w:r>
              <w:rPr>
                <w:rFonts w:hint="eastAsia"/>
                <w:highlight w:val="none"/>
                <w:lang w:val="en-US" w:eastAsia="zh-CN"/>
              </w:rPr>
              <w:t>1</w:t>
            </w:r>
          </w:p>
        </w:tc>
        <w:tc>
          <w:tcPr>
            <w:tcW w:w="587" w:type="dxa"/>
            <w:vAlign w:val="center"/>
          </w:tcPr>
          <w:p>
            <w:pPr>
              <w:shd w:val="clear" w:color="auto" w:fill="F4B8FF"/>
              <w:rPr>
                <w:highlight w:val="none"/>
                <w:lang w:eastAsia="ja-JP"/>
              </w:rPr>
            </w:pPr>
            <w:r>
              <w:rPr>
                <w:rFonts w:hint="eastAsia"/>
                <w:highlight w:val="none"/>
                <w:lang w:val="en-US" w:eastAsia="zh-CN"/>
              </w:rPr>
              <w:t>1</w:t>
            </w:r>
          </w:p>
        </w:tc>
        <w:tc>
          <w:tcPr>
            <w:tcW w:w="650" w:type="dxa"/>
            <w:vAlign w:val="center"/>
          </w:tcPr>
          <w:p>
            <w:pPr>
              <w:shd w:val="clear" w:color="auto" w:fill="F4B8FF"/>
              <w:rPr>
                <w:highlight w:val="none"/>
                <w:lang w:eastAsia="ja-JP"/>
              </w:rPr>
            </w:pPr>
          </w:p>
        </w:tc>
        <w:tc>
          <w:tcPr>
            <w:tcW w:w="649" w:type="dxa"/>
            <w:vAlign w:val="center"/>
          </w:tcPr>
          <w:p>
            <w:pPr>
              <w:shd w:val="clear" w:color="auto" w:fill="F4B8FF"/>
              <w:rPr>
                <w:highlight w:val="none"/>
                <w:lang w:eastAsia="ja-JP"/>
              </w:rPr>
            </w:pPr>
          </w:p>
        </w:tc>
        <w:tc>
          <w:tcPr>
            <w:tcW w:w="650" w:type="dxa"/>
            <w:shd w:val="clear" w:color="auto" w:fill="BFBFBF"/>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rPr>
            </w:pPr>
            <w:r>
              <w:rPr>
                <w:rFonts w:hint="eastAsia"/>
                <w:highlight w:val="none"/>
              </w:rPr>
              <w:t>不符合数量</w:t>
            </w:r>
          </w:p>
        </w:tc>
        <w:tc>
          <w:tcPr>
            <w:tcW w:w="608" w:type="dxa"/>
            <w:vAlign w:val="center"/>
          </w:tcPr>
          <w:p>
            <w:pPr>
              <w:shd w:val="clear" w:color="auto" w:fill="F4B8FF"/>
              <w:rPr>
                <w:highlight w:val="none"/>
                <w:lang w:eastAsia="ja-JP"/>
              </w:rPr>
            </w:pPr>
          </w:p>
        </w:tc>
        <w:tc>
          <w:tcPr>
            <w:tcW w:w="630" w:type="dxa"/>
            <w:vAlign w:val="center"/>
          </w:tcPr>
          <w:p>
            <w:pPr>
              <w:shd w:val="clear" w:color="auto" w:fill="F4B8FF"/>
              <w:rPr>
                <w:highlight w:val="none"/>
                <w:lang w:eastAsia="ja-JP"/>
              </w:rPr>
            </w:pPr>
          </w:p>
        </w:tc>
        <w:tc>
          <w:tcPr>
            <w:tcW w:w="615" w:type="dxa"/>
            <w:vAlign w:val="center"/>
          </w:tcPr>
          <w:p>
            <w:pPr>
              <w:shd w:val="clear" w:color="auto" w:fill="F4B8FF"/>
              <w:rPr>
                <w:highlight w:val="none"/>
                <w:lang w:eastAsia="ja-JP"/>
              </w:rPr>
            </w:pPr>
          </w:p>
        </w:tc>
        <w:tc>
          <w:tcPr>
            <w:tcW w:w="645"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23"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88" w:type="dxa"/>
            <w:vAlign w:val="center"/>
          </w:tcPr>
          <w:p>
            <w:pPr>
              <w:shd w:val="clear" w:color="auto" w:fill="F4B8FF"/>
              <w:rPr>
                <w:highlight w:val="none"/>
                <w:lang w:eastAsia="ja-JP"/>
              </w:rPr>
            </w:pPr>
          </w:p>
        </w:tc>
        <w:tc>
          <w:tcPr>
            <w:tcW w:w="600" w:type="dxa"/>
            <w:vAlign w:val="center"/>
          </w:tcPr>
          <w:p>
            <w:pPr>
              <w:shd w:val="clear" w:color="auto" w:fill="F4B8FF"/>
              <w:rPr>
                <w:highlight w:val="none"/>
                <w:lang w:eastAsia="ja-JP"/>
              </w:rPr>
            </w:pPr>
          </w:p>
        </w:tc>
        <w:tc>
          <w:tcPr>
            <w:tcW w:w="587" w:type="dxa"/>
            <w:vAlign w:val="center"/>
          </w:tcPr>
          <w:p>
            <w:pPr>
              <w:shd w:val="clear" w:color="auto" w:fill="F4B8FF"/>
              <w:rPr>
                <w:highlight w:val="none"/>
                <w:lang w:eastAsia="ja-JP"/>
              </w:rPr>
            </w:pPr>
          </w:p>
        </w:tc>
        <w:tc>
          <w:tcPr>
            <w:tcW w:w="650" w:type="dxa"/>
            <w:vAlign w:val="center"/>
          </w:tcPr>
          <w:p>
            <w:pPr>
              <w:shd w:val="clear" w:color="auto" w:fill="F4B8FF"/>
              <w:rPr>
                <w:highlight w:val="none"/>
                <w:lang w:eastAsia="ja-JP"/>
              </w:rPr>
            </w:pPr>
          </w:p>
        </w:tc>
        <w:tc>
          <w:tcPr>
            <w:tcW w:w="649" w:type="dxa"/>
            <w:vAlign w:val="center"/>
          </w:tcPr>
          <w:p>
            <w:pPr>
              <w:shd w:val="clear" w:color="auto" w:fill="F4B8FF"/>
              <w:rPr>
                <w:highlight w:val="none"/>
                <w:lang w:eastAsia="ja-JP"/>
              </w:rPr>
            </w:pPr>
          </w:p>
        </w:tc>
        <w:tc>
          <w:tcPr>
            <w:tcW w:w="650" w:type="dxa"/>
            <w:shd w:val="clear" w:color="auto" w:fill="BFBFBF"/>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标准条款</w:t>
            </w:r>
          </w:p>
        </w:tc>
        <w:tc>
          <w:tcPr>
            <w:tcW w:w="608" w:type="dxa"/>
            <w:vAlign w:val="center"/>
          </w:tcPr>
          <w:p>
            <w:pPr>
              <w:shd w:val="clear" w:color="auto" w:fill="F4B8FF"/>
              <w:rPr>
                <w:highlight w:val="none"/>
                <w:lang w:eastAsia="ja-JP"/>
              </w:rPr>
            </w:pPr>
            <w:r>
              <w:rPr>
                <w:rFonts w:hint="eastAsia"/>
                <w:highlight w:val="none"/>
              </w:rPr>
              <w:t>7.1</w:t>
            </w:r>
          </w:p>
        </w:tc>
        <w:tc>
          <w:tcPr>
            <w:tcW w:w="630" w:type="dxa"/>
            <w:vAlign w:val="center"/>
          </w:tcPr>
          <w:p>
            <w:pPr>
              <w:shd w:val="clear" w:color="auto" w:fill="F4B8FF"/>
              <w:rPr>
                <w:highlight w:val="none"/>
                <w:lang w:eastAsia="ja-JP"/>
              </w:rPr>
            </w:pPr>
            <w:r>
              <w:rPr>
                <w:rFonts w:hint="eastAsia"/>
                <w:highlight w:val="none"/>
              </w:rPr>
              <w:t>7.2</w:t>
            </w:r>
          </w:p>
        </w:tc>
        <w:tc>
          <w:tcPr>
            <w:tcW w:w="615" w:type="dxa"/>
            <w:vAlign w:val="center"/>
          </w:tcPr>
          <w:p>
            <w:pPr>
              <w:shd w:val="clear" w:color="auto" w:fill="F4B8FF"/>
              <w:rPr>
                <w:highlight w:val="none"/>
                <w:lang w:eastAsia="ja-JP"/>
              </w:rPr>
            </w:pPr>
            <w:r>
              <w:rPr>
                <w:rFonts w:hint="eastAsia"/>
                <w:highlight w:val="none"/>
              </w:rPr>
              <w:t>7.3</w:t>
            </w:r>
          </w:p>
        </w:tc>
        <w:tc>
          <w:tcPr>
            <w:tcW w:w="645" w:type="dxa"/>
            <w:vAlign w:val="center"/>
          </w:tcPr>
          <w:p>
            <w:pPr>
              <w:shd w:val="clear" w:color="auto" w:fill="F4B8FF"/>
              <w:rPr>
                <w:highlight w:val="none"/>
                <w:lang w:eastAsia="ja-JP"/>
              </w:rPr>
            </w:pPr>
            <w:r>
              <w:rPr>
                <w:rFonts w:hint="eastAsia"/>
                <w:highlight w:val="none"/>
              </w:rPr>
              <w:t>7.4</w:t>
            </w:r>
          </w:p>
        </w:tc>
        <w:tc>
          <w:tcPr>
            <w:tcW w:w="637" w:type="dxa"/>
            <w:vAlign w:val="center"/>
          </w:tcPr>
          <w:p>
            <w:pPr>
              <w:shd w:val="clear" w:color="auto" w:fill="F4B8FF"/>
              <w:rPr>
                <w:highlight w:val="none"/>
                <w:lang w:eastAsia="ja-JP"/>
              </w:rPr>
            </w:pPr>
            <w:r>
              <w:rPr>
                <w:rFonts w:hint="eastAsia"/>
                <w:highlight w:val="none"/>
              </w:rPr>
              <w:t>7.5</w:t>
            </w:r>
          </w:p>
        </w:tc>
        <w:tc>
          <w:tcPr>
            <w:tcW w:w="623" w:type="dxa"/>
            <w:vAlign w:val="center"/>
          </w:tcPr>
          <w:p>
            <w:pPr>
              <w:shd w:val="clear" w:color="auto" w:fill="F4B8FF"/>
              <w:rPr>
                <w:highlight w:val="none"/>
                <w:lang w:eastAsia="ja-JP"/>
              </w:rPr>
            </w:pPr>
            <w:r>
              <w:rPr>
                <w:rFonts w:hint="eastAsia"/>
                <w:highlight w:val="none"/>
              </w:rPr>
              <w:t>8.1</w:t>
            </w:r>
          </w:p>
        </w:tc>
        <w:tc>
          <w:tcPr>
            <w:tcW w:w="637" w:type="dxa"/>
            <w:vAlign w:val="center"/>
          </w:tcPr>
          <w:p>
            <w:pPr>
              <w:shd w:val="clear" w:color="auto" w:fill="F4B8FF"/>
              <w:rPr>
                <w:highlight w:val="none"/>
                <w:lang w:eastAsia="ja-JP"/>
              </w:rPr>
            </w:pPr>
            <w:r>
              <w:rPr>
                <w:rFonts w:hint="eastAsia"/>
                <w:highlight w:val="none"/>
              </w:rPr>
              <w:t>8.2</w:t>
            </w:r>
          </w:p>
        </w:tc>
        <w:tc>
          <w:tcPr>
            <w:tcW w:w="688" w:type="dxa"/>
            <w:vAlign w:val="center"/>
          </w:tcPr>
          <w:p>
            <w:pPr>
              <w:shd w:val="clear" w:color="auto" w:fill="F4B8FF"/>
              <w:rPr>
                <w:highlight w:val="none"/>
                <w:lang w:eastAsia="ja-JP"/>
              </w:rPr>
            </w:pPr>
            <w:r>
              <w:rPr>
                <w:rFonts w:hint="eastAsia"/>
                <w:highlight w:val="none"/>
              </w:rPr>
              <w:t>8.3</w:t>
            </w:r>
          </w:p>
        </w:tc>
        <w:tc>
          <w:tcPr>
            <w:tcW w:w="600" w:type="dxa"/>
            <w:vAlign w:val="center"/>
          </w:tcPr>
          <w:p>
            <w:pPr>
              <w:shd w:val="clear" w:color="auto" w:fill="F4B8FF"/>
              <w:rPr>
                <w:highlight w:val="none"/>
              </w:rPr>
            </w:pPr>
            <w:r>
              <w:rPr>
                <w:rFonts w:hint="eastAsia"/>
                <w:highlight w:val="none"/>
              </w:rPr>
              <w:t>8.4</w:t>
            </w:r>
          </w:p>
        </w:tc>
        <w:tc>
          <w:tcPr>
            <w:tcW w:w="587" w:type="dxa"/>
            <w:vAlign w:val="center"/>
          </w:tcPr>
          <w:p>
            <w:pPr>
              <w:shd w:val="clear" w:color="auto" w:fill="F4B8FF"/>
              <w:rPr>
                <w:highlight w:val="none"/>
              </w:rPr>
            </w:pPr>
            <w:r>
              <w:rPr>
                <w:rFonts w:hint="eastAsia"/>
                <w:highlight w:val="none"/>
              </w:rPr>
              <w:t>8.5</w:t>
            </w:r>
          </w:p>
        </w:tc>
        <w:tc>
          <w:tcPr>
            <w:tcW w:w="650" w:type="dxa"/>
            <w:vAlign w:val="center"/>
          </w:tcPr>
          <w:p>
            <w:pPr>
              <w:shd w:val="clear" w:color="auto" w:fill="F4B8FF"/>
              <w:rPr>
                <w:highlight w:val="none"/>
                <w:lang w:eastAsia="ja-JP"/>
              </w:rPr>
            </w:pPr>
            <w:r>
              <w:rPr>
                <w:rFonts w:hint="eastAsia"/>
                <w:highlight w:val="none"/>
              </w:rPr>
              <w:t>8.6</w:t>
            </w:r>
          </w:p>
        </w:tc>
        <w:tc>
          <w:tcPr>
            <w:tcW w:w="649" w:type="dxa"/>
            <w:vAlign w:val="center"/>
          </w:tcPr>
          <w:p>
            <w:pPr>
              <w:shd w:val="clear" w:color="auto" w:fill="F4B8FF"/>
              <w:rPr>
                <w:highlight w:val="none"/>
                <w:lang w:eastAsia="ja-JP"/>
              </w:rPr>
            </w:pPr>
            <w:r>
              <w:rPr>
                <w:rFonts w:hint="eastAsia"/>
                <w:highlight w:val="none"/>
              </w:rPr>
              <w:t>8.7</w:t>
            </w:r>
          </w:p>
        </w:tc>
        <w:tc>
          <w:tcPr>
            <w:tcW w:w="650" w:type="dxa"/>
            <w:vAlign w:val="center"/>
          </w:tcPr>
          <w:p>
            <w:pPr>
              <w:shd w:val="clear" w:color="auto" w:fill="F4B8FF"/>
              <w:rPr>
                <w:highlight w:val="none"/>
                <w:lang w:eastAsia="ja-JP"/>
              </w:rPr>
            </w:pPr>
            <w:r>
              <w:rPr>
                <w:rFonts w:hint="eastAsia"/>
                <w:highlight w:val="none"/>
              </w:rPr>
              <w:t>8.8</w:t>
            </w:r>
          </w:p>
        </w:tc>
        <w:tc>
          <w:tcPr>
            <w:tcW w:w="650"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评价*)</w:t>
            </w:r>
          </w:p>
        </w:tc>
        <w:tc>
          <w:tcPr>
            <w:tcW w:w="608" w:type="dxa"/>
            <w:vAlign w:val="center"/>
          </w:tcPr>
          <w:p>
            <w:pPr>
              <w:shd w:val="clear" w:color="auto" w:fill="F4B8FF"/>
              <w:rPr>
                <w:highlight w:val="none"/>
                <w:lang w:eastAsia="ja-JP"/>
              </w:rPr>
            </w:pPr>
            <w:r>
              <w:rPr>
                <w:rFonts w:hint="eastAsia"/>
                <w:highlight w:val="none"/>
                <w:lang w:val="en-US" w:eastAsia="zh-CN"/>
              </w:rPr>
              <w:t>1</w:t>
            </w:r>
          </w:p>
        </w:tc>
        <w:tc>
          <w:tcPr>
            <w:tcW w:w="630" w:type="dxa"/>
            <w:vAlign w:val="center"/>
          </w:tcPr>
          <w:p>
            <w:pPr>
              <w:shd w:val="clear" w:color="auto" w:fill="F4B8FF"/>
              <w:rPr>
                <w:highlight w:val="none"/>
                <w:lang w:eastAsia="ja-JP"/>
              </w:rPr>
            </w:pPr>
            <w:r>
              <w:rPr>
                <w:rFonts w:hint="eastAsia"/>
                <w:highlight w:val="none"/>
                <w:lang w:val="en-US" w:eastAsia="zh-CN"/>
              </w:rPr>
              <w:t>1</w:t>
            </w:r>
          </w:p>
        </w:tc>
        <w:tc>
          <w:tcPr>
            <w:tcW w:w="615" w:type="dxa"/>
            <w:vAlign w:val="center"/>
          </w:tcPr>
          <w:p>
            <w:pPr>
              <w:shd w:val="clear" w:color="auto" w:fill="F4B8FF"/>
              <w:rPr>
                <w:highlight w:val="none"/>
                <w:lang w:eastAsia="ja-JP"/>
              </w:rPr>
            </w:pPr>
            <w:r>
              <w:rPr>
                <w:rFonts w:hint="eastAsia"/>
                <w:highlight w:val="none"/>
                <w:lang w:val="en-US" w:eastAsia="zh-CN"/>
              </w:rPr>
              <w:t>1</w:t>
            </w:r>
          </w:p>
        </w:tc>
        <w:tc>
          <w:tcPr>
            <w:tcW w:w="645"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23"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3</w:t>
            </w:r>
          </w:p>
        </w:tc>
        <w:tc>
          <w:tcPr>
            <w:tcW w:w="688" w:type="dxa"/>
            <w:vAlign w:val="center"/>
          </w:tcPr>
          <w:p>
            <w:pPr>
              <w:shd w:val="clear" w:color="auto" w:fill="F4B8FF"/>
              <w:rPr>
                <w:highlight w:val="none"/>
                <w:lang w:eastAsia="ja-JP"/>
              </w:rPr>
            </w:pPr>
            <w:r>
              <w:rPr>
                <w:rFonts w:hint="eastAsia"/>
                <w:highlight w:val="none"/>
                <w:lang w:val="en-US" w:eastAsia="zh-CN"/>
              </w:rPr>
              <w:t>1</w:t>
            </w:r>
          </w:p>
        </w:tc>
        <w:tc>
          <w:tcPr>
            <w:tcW w:w="600" w:type="dxa"/>
            <w:vAlign w:val="center"/>
          </w:tcPr>
          <w:p>
            <w:pPr>
              <w:shd w:val="clear" w:color="auto" w:fill="F4B8FF"/>
              <w:rPr>
                <w:highlight w:val="none"/>
                <w:lang w:eastAsia="ja-JP"/>
              </w:rPr>
            </w:pPr>
            <w:r>
              <w:rPr>
                <w:rFonts w:hint="eastAsia"/>
                <w:highlight w:val="none"/>
                <w:lang w:val="en-US" w:eastAsia="zh-CN"/>
              </w:rPr>
              <w:t>1</w:t>
            </w:r>
          </w:p>
        </w:tc>
        <w:tc>
          <w:tcPr>
            <w:tcW w:w="587" w:type="dxa"/>
            <w:vAlign w:val="center"/>
          </w:tcPr>
          <w:p>
            <w:pPr>
              <w:shd w:val="clear" w:color="auto" w:fill="F4B8FF"/>
              <w:rPr>
                <w:highlight w:val="none"/>
                <w:lang w:eastAsia="ja-JP"/>
              </w:rPr>
            </w:pPr>
            <w:r>
              <w:rPr>
                <w:rFonts w:hint="eastAsia"/>
                <w:highlight w:val="none"/>
                <w:lang w:val="en-US" w:eastAsia="zh-CN"/>
              </w:rPr>
              <w:t>3</w:t>
            </w:r>
          </w:p>
        </w:tc>
        <w:tc>
          <w:tcPr>
            <w:tcW w:w="650" w:type="dxa"/>
            <w:vAlign w:val="center"/>
          </w:tcPr>
          <w:p>
            <w:pPr>
              <w:shd w:val="clear" w:color="auto" w:fill="F4B8FF"/>
              <w:rPr>
                <w:highlight w:val="none"/>
                <w:lang w:eastAsia="ja-JP"/>
              </w:rPr>
            </w:pPr>
            <w:r>
              <w:rPr>
                <w:rFonts w:hint="eastAsia"/>
                <w:highlight w:val="none"/>
                <w:lang w:val="en-US" w:eastAsia="zh-CN"/>
              </w:rPr>
              <w:t>1</w:t>
            </w:r>
          </w:p>
        </w:tc>
        <w:tc>
          <w:tcPr>
            <w:tcW w:w="649" w:type="dxa"/>
            <w:vAlign w:val="center"/>
          </w:tcPr>
          <w:p>
            <w:pPr>
              <w:shd w:val="clear" w:color="auto" w:fill="F4B8FF"/>
              <w:rPr>
                <w:highlight w:val="none"/>
                <w:lang w:eastAsia="ja-JP"/>
              </w:rPr>
            </w:pPr>
            <w:r>
              <w:rPr>
                <w:rFonts w:hint="eastAsia"/>
                <w:highlight w:val="none"/>
                <w:lang w:val="en-US" w:eastAsia="zh-CN"/>
              </w:rPr>
              <w:t>3</w:t>
            </w:r>
          </w:p>
        </w:tc>
        <w:tc>
          <w:tcPr>
            <w:tcW w:w="650" w:type="dxa"/>
            <w:vAlign w:val="center"/>
          </w:tcPr>
          <w:p>
            <w:pPr>
              <w:shd w:val="clear" w:color="auto" w:fill="F4B8FF"/>
              <w:rPr>
                <w:highlight w:val="none"/>
                <w:lang w:eastAsia="ja-JP"/>
              </w:rPr>
            </w:pPr>
            <w:r>
              <w:rPr>
                <w:rFonts w:hint="eastAsia"/>
                <w:highlight w:val="none"/>
                <w:lang w:val="en-US" w:eastAsia="zh-CN"/>
              </w:rPr>
              <w:t>3</w:t>
            </w:r>
          </w:p>
        </w:tc>
        <w:tc>
          <w:tcPr>
            <w:tcW w:w="650" w:type="dxa"/>
            <w:vAlign w:val="center"/>
          </w:tcPr>
          <w:p>
            <w:pPr>
              <w:shd w:val="clear" w:color="auto" w:fill="F4B8FF"/>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rPr>
              <w:t>不符合数量</w:t>
            </w:r>
          </w:p>
        </w:tc>
        <w:tc>
          <w:tcPr>
            <w:tcW w:w="608" w:type="dxa"/>
            <w:vAlign w:val="center"/>
          </w:tcPr>
          <w:p>
            <w:pPr>
              <w:shd w:val="clear" w:color="auto" w:fill="F4B8FF"/>
              <w:rPr>
                <w:highlight w:val="none"/>
                <w:lang w:eastAsia="ja-JP"/>
              </w:rPr>
            </w:pPr>
          </w:p>
        </w:tc>
        <w:tc>
          <w:tcPr>
            <w:tcW w:w="630" w:type="dxa"/>
            <w:vAlign w:val="center"/>
          </w:tcPr>
          <w:p>
            <w:pPr>
              <w:shd w:val="clear" w:color="auto" w:fill="F4B8FF"/>
              <w:rPr>
                <w:highlight w:val="none"/>
                <w:lang w:eastAsia="ja-JP"/>
              </w:rPr>
            </w:pPr>
          </w:p>
        </w:tc>
        <w:tc>
          <w:tcPr>
            <w:tcW w:w="615" w:type="dxa"/>
            <w:vAlign w:val="center"/>
          </w:tcPr>
          <w:p>
            <w:pPr>
              <w:shd w:val="clear" w:color="auto" w:fill="F4B8FF"/>
              <w:rPr>
                <w:highlight w:val="none"/>
                <w:lang w:eastAsia="ja-JP"/>
              </w:rPr>
            </w:pPr>
          </w:p>
        </w:tc>
        <w:tc>
          <w:tcPr>
            <w:tcW w:w="645"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23" w:type="dxa"/>
            <w:vAlign w:val="center"/>
          </w:tcPr>
          <w:p>
            <w:pPr>
              <w:shd w:val="clear" w:color="auto" w:fill="F4B8FF"/>
              <w:rPr>
                <w:highlight w:val="none"/>
                <w:lang w:eastAsia="ja-JP"/>
              </w:rPr>
            </w:pPr>
          </w:p>
        </w:tc>
        <w:tc>
          <w:tcPr>
            <w:tcW w:w="63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88" w:type="dxa"/>
            <w:tcBorders>
              <w:bottom w:val="single" w:color="auto" w:sz="4" w:space="0"/>
            </w:tcBorders>
            <w:vAlign w:val="center"/>
          </w:tcPr>
          <w:p>
            <w:pPr>
              <w:shd w:val="clear" w:color="auto" w:fill="F4B8FF"/>
              <w:rPr>
                <w:highlight w:val="none"/>
                <w:lang w:eastAsia="ja-JP"/>
              </w:rPr>
            </w:pPr>
          </w:p>
        </w:tc>
        <w:tc>
          <w:tcPr>
            <w:tcW w:w="600" w:type="dxa"/>
            <w:tcBorders>
              <w:bottom w:val="single" w:color="auto" w:sz="4" w:space="0"/>
            </w:tcBorders>
            <w:vAlign w:val="center"/>
          </w:tcPr>
          <w:p>
            <w:pPr>
              <w:shd w:val="clear" w:color="auto" w:fill="F4B8FF"/>
              <w:rPr>
                <w:highlight w:val="none"/>
                <w:lang w:eastAsia="ja-JP"/>
              </w:rPr>
            </w:pPr>
          </w:p>
        </w:tc>
        <w:tc>
          <w:tcPr>
            <w:tcW w:w="58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w:t>
            </w:r>
          </w:p>
        </w:tc>
        <w:tc>
          <w:tcPr>
            <w:tcW w:w="650" w:type="dxa"/>
            <w:tcBorders>
              <w:bottom w:val="single" w:color="auto" w:sz="4" w:space="0"/>
            </w:tcBorders>
            <w:vAlign w:val="center"/>
          </w:tcPr>
          <w:p>
            <w:pPr>
              <w:shd w:val="clear" w:color="auto" w:fill="F4B8FF"/>
              <w:rPr>
                <w:highlight w:val="none"/>
                <w:lang w:eastAsia="ja-JP"/>
              </w:rPr>
            </w:pPr>
          </w:p>
        </w:tc>
        <w:tc>
          <w:tcPr>
            <w:tcW w:w="649"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03</w:t>
            </w:r>
          </w:p>
        </w:tc>
        <w:tc>
          <w:tcPr>
            <w:tcW w:w="650"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04</w:t>
            </w:r>
          </w:p>
        </w:tc>
        <w:tc>
          <w:tcPr>
            <w:tcW w:w="650"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标准条款</w:t>
            </w:r>
          </w:p>
        </w:tc>
        <w:tc>
          <w:tcPr>
            <w:tcW w:w="608" w:type="dxa"/>
            <w:vAlign w:val="center"/>
          </w:tcPr>
          <w:p>
            <w:pPr>
              <w:shd w:val="clear" w:color="auto" w:fill="F4B8FF"/>
              <w:rPr>
                <w:highlight w:val="none"/>
                <w:lang w:eastAsia="ja-JP"/>
              </w:rPr>
            </w:pPr>
            <w:r>
              <w:rPr>
                <w:rFonts w:hint="eastAsia"/>
                <w:highlight w:val="none"/>
              </w:rPr>
              <w:t>9.1</w:t>
            </w:r>
          </w:p>
        </w:tc>
        <w:tc>
          <w:tcPr>
            <w:tcW w:w="630" w:type="dxa"/>
            <w:vAlign w:val="center"/>
          </w:tcPr>
          <w:p>
            <w:pPr>
              <w:shd w:val="clear" w:color="auto" w:fill="F4B8FF"/>
              <w:rPr>
                <w:highlight w:val="none"/>
                <w:lang w:eastAsia="ja-JP"/>
              </w:rPr>
            </w:pPr>
            <w:r>
              <w:rPr>
                <w:rFonts w:hint="eastAsia"/>
                <w:highlight w:val="none"/>
              </w:rPr>
              <w:t>9.2</w:t>
            </w:r>
          </w:p>
        </w:tc>
        <w:tc>
          <w:tcPr>
            <w:tcW w:w="615" w:type="dxa"/>
            <w:vAlign w:val="center"/>
          </w:tcPr>
          <w:p>
            <w:pPr>
              <w:shd w:val="clear" w:color="auto" w:fill="F4B8FF"/>
              <w:rPr>
                <w:highlight w:val="none"/>
                <w:lang w:eastAsia="ja-JP"/>
              </w:rPr>
            </w:pPr>
            <w:r>
              <w:rPr>
                <w:rFonts w:hint="eastAsia"/>
                <w:highlight w:val="none"/>
              </w:rPr>
              <w:t>9.3</w:t>
            </w:r>
          </w:p>
        </w:tc>
        <w:tc>
          <w:tcPr>
            <w:tcW w:w="645" w:type="dxa"/>
            <w:vAlign w:val="center"/>
          </w:tcPr>
          <w:p>
            <w:pPr>
              <w:shd w:val="clear" w:color="auto" w:fill="F4B8FF"/>
              <w:rPr>
                <w:highlight w:val="none"/>
                <w:lang w:eastAsia="ja-JP"/>
              </w:rPr>
            </w:pPr>
            <w:r>
              <w:rPr>
                <w:rFonts w:hint="eastAsia"/>
                <w:highlight w:val="none"/>
              </w:rPr>
              <w:t>10.1</w:t>
            </w:r>
          </w:p>
        </w:tc>
        <w:tc>
          <w:tcPr>
            <w:tcW w:w="637" w:type="dxa"/>
            <w:vAlign w:val="center"/>
          </w:tcPr>
          <w:p>
            <w:pPr>
              <w:shd w:val="clear" w:color="auto" w:fill="F4B8FF"/>
              <w:rPr>
                <w:highlight w:val="none"/>
                <w:lang w:eastAsia="ja-JP"/>
              </w:rPr>
            </w:pPr>
            <w:r>
              <w:rPr>
                <w:rFonts w:hint="eastAsia"/>
                <w:highlight w:val="none"/>
              </w:rPr>
              <w:t>10.2</w:t>
            </w:r>
          </w:p>
        </w:tc>
        <w:tc>
          <w:tcPr>
            <w:tcW w:w="623" w:type="dxa"/>
            <w:vAlign w:val="center"/>
          </w:tcPr>
          <w:p>
            <w:pPr>
              <w:shd w:val="clear" w:color="auto" w:fill="F4B8FF"/>
              <w:rPr>
                <w:highlight w:val="none"/>
                <w:lang w:eastAsia="ja-JP"/>
              </w:rPr>
            </w:pPr>
            <w:r>
              <w:rPr>
                <w:rFonts w:hint="eastAsia"/>
                <w:highlight w:val="none"/>
              </w:rPr>
              <w:t>10.3</w:t>
            </w:r>
          </w:p>
        </w:tc>
        <w:tc>
          <w:tcPr>
            <w:tcW w:w="637" w:type="dxa"/>
            <w:shd w:val="pct25" w:color="auto" w:fill="auto"/>
            <w:vAlign w:val="center"/>
          </w:tcPr>
          <w:p>
            <w:pPr>
              <w:shd w:val="clear" w:color="auto" w:fill="F4B8FF"/>
              <w:rPr>
                <w:highlight w:val="none"/>
                <w:lang w:eastAsia="ja-JP"/>
              </w:rPr>
            </w:pPr>
          </w:p>
        </w:tc>
        <w:tc>
          <w:tcPr>
            <w:tcW w:w="688" w:type="dxa"/>
            <w:shd w:val="pct25" w:color="auto" w:fill="auto"/>
            <w:vAlign w:val="center"/>
          </w:tcPr>
          <w:p>
            <w:pPr>
              <w:shd w:val="clear" w:color="auto" w:fill="F4B8FF"/>
              <w:rPr>
                <w:highlight w:val="none"/>
                <w:lang w:eastAsia="ja-JP"/>
              </w:rPr>
            </w:pPr>
          </w:p>
        </w:tc>
        <w:tc>
          <w:tcPr>
            <w:tcW w:w="600" w:type="dxa"/>
            <w:shd w:val="pct25" w:color="auto" w:fill="auto"/>
            <w:vAlign w:val="center"/>
          </w:tcPr>
          <w:p>
            <w:pPr>
              <w:shd w:val="clear" w:color="auto" w:fill="F4B8FF"/>
              <w:rPr>
                <w:highlight w:val="none"/>
                <w:lang w:eastAsia="ja-JP"/>
              </w:rPr>
            </w:pPr>
          </w:p>
        </w:tc>
        <w:tc>
          <w:tcPr>
            <w:tcW w:w="587"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49"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评价*)</w:t>
            </w:r>
          </w:p>
        </w:tc>
        <w:tc>
          <w:tcPr>
            <w:tcW w:w="608" w:type="dxa"/>
            <w:vAlign w:val="center"/>
          </w:tcPr>
          <w:p>
            <w:pPr>
              <w:shd w:val="clear" w:color="auto" w:fill="F4B8FF"/>
              <w:rPr>
                <w:highlight w:val="none"/>
                <w:lang w:eastAsia="ja-JP"/>
              </w:rPr>
            </w:pPr>
            <w:r>
              <w:rPr>
                <w:rFonts w:hint="eastAsia"/>
                <w:highlight w:val="none"/>
                <w:lang w:val="en-US" w:eastAsia="zh-CN"/>
              </w:rPr>
              <w:t>1</w:t>
            </w:r>
          </w:p>
        </w:tc>
        <w:tc>
          <w:tcPr>
            <w:tcW w:w="630" w:type="dxa"/>
            <w:vAlign w:val="center"/>
          </w:tcPr>
          <w:p>
            <w:pPr>
              <w:shd w:val="clear" w:color="auto" w:fill="F4B8FF"/>
              <w:rPr>
                <w:highlight w:val="none"/>
                <w:lang w:eastAsia="ja-JP"/>
              </w:rPr>
            </w:pPr>
            <w:r>
              <w:rPr>
                <w:rFonts w:hint="eastAsia"/>
                <w:highlight w:val="none"/>
                <w:lang w:val="en-US" w:eastAsia="zh-CN"/>
              </w:rPr>
              <w:t>1</w:t>
            </w:r>
          </w:p>
        </w:tc>
        <w:tc>
          <w:tcPr>
            <w:tcW w:w="615" w:type="dxa"/>
            <w:vAlign w:val="center"/>
          </w:tcPr>
          <w:p>
            <w:pPr>
              <w:shd w:val="clear" w:color="auto" w:fill="F4B8FF"/>
              <w:rPr>
                <w:highlight w:val="none"/>
                <w:lang w:eastAsia="ja-JP"/>
              </w:rPr>
            </w:pPr>
            <w:r>
              <w:rPr>
                <w:rFonts w:hint="eastAsia"/>
                <w:highlight w:val="none"/>
                <w:lang w:val="en-US" w:eastAsia="zh-CN"/>
              </w:rPr>
              <w:t>1</w:t>
            </w:r>
          </w:p>
        </w:tc>
        <w:tc>
          <w:tcPr>
            <w:tcW w:w="645"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23" w:type="dxa"/>
            <w:vAlign w:val="center"/>
          </w:tcPr>
          <w:p>
            <w:pPr>
              <w:shd w:val="clear" w:color="auto" w:fill="F4B8FF"/>
              <w:rPr>
                <w:highlight w:val="none"/>
                <w:lang w:eastAsia="ja-JP"/>
              </w:rPr>
            </w:pPr>
            <w:r>
              <w:rPr>
                <w:rFonts w:hint="eastAsia"/>
                <w:highlight w:val="none"/>
                <w:lang w:val="en-US" w:eastAsia="zh-CN"/>
              </w:rPr>
              <w:t>1</w:t>
            </w:r>
          </w:p>
        </w:tc>
        <w:tc>
          <w:tcPr>
            <w:tcW w:w="637" w:type="dxa"/>
            <w:shd w:val="pct25" w:color="auto" w:fill="auto"/>
            <w:vAlign w:val="center"/>
          </w:tcPr>
          <w:p>
            <w:pPr>
              <w:shd w:val="clear" w:color="auto" w:fill="F4B8FF"/>
              <w:rPr>
                <w:highlight w:val="none"/>
                <w:lang w:eastAsia="ja-JP"/>
              </w:rPr>
            </w:pPr>
          </w:p>
        </w:tc>
        <w:tc>
          <w:tcPr>
            <w:tcW w:w="688" w:type="dxa"/>
            <w:shd w:val="pct25" w:color="auto" w:fill="auto"/>
            <w:vAlign w:val="center"/>
          </w:tcPr>
          <w:p>
            <w:pPr>
              <w:shd w:val="clear" w:color="auto" w:fill="F4B8FF"/>
              <w:rPr>
                <w:highlight w:val="none"/>
                <w:lang w:eastAsia="ja-JP"/>
              </w:rPr>
            </w:pPr>
          </w:p>
        </w:tc>
        <w:tc>
          <w:tcPr>
            <w:tcW w:w="600" w:type="dxa"/>
            <w:shd w:val="pct25" w:color="auto" w:fill="auto"/>
            <w:vAlign w:val="center"/>
          </w:tcPr>
          <w:p>
            <w:pPr>
              <w:shd w:val="clear" w:color="auto" w:fill="F4B8FF"/>
              <w:rPr>
                <w:highlight w:val="none"/>
                <w:lang w:eastAsia="ja-JP"/>
              </w:rPr>
            </w:pPr>
          </w:p>
        </w:tc>
        <w:tc>
          <w:tcPr>
            <w:tcW w:w="587"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49"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rPr>
              <w:t>不符合数量</w:t>
            </w:r>
          </w:p>
        </w:tc>
        <w:tc>
          <w:tcPr>
            <w:tcW w:w="608" w:type="dxa"/>
            <w:vAlign w:val="center"/>
          </w:tcPr>
          <w:p>
            <w:pPr>
              <w:shd w:val="clear" w:color="auto" w:fill="F4B8FF"/>
              <w:rPr>
                <w:highlight w:val="none"/>
                <w:lang w:eastAsia="ja-JP"/>
              </w:rPr>
            </w:pPr>
          </w:p>
        </w:tc>
        <w:tc>
          <w:tcPr>
            <w:tcW w:w="630" w:type="dxa"/>
            <w:vAlign w:val="center"/>
          </w:tcPr>
          <w:p>
            <w:pPr>
              <w:shd w:val="clear" w:color="auto" w:fill="F4B8FF"/>
              <w:rPr>
                <w:highlight w:val="none"/>
                <w:lang w:eastAsia="ja-JP"/>
              </w:rPr>
            </w:pPr>
          </w:p>
        </w:tc>
        <w:tc>
          <w:tcPr>
            <w:tcW w:w="615" w:type="dxa"/>
            <w:vAlign w:val="center"/>
          </w:tcPr>
          <w:p>
            <w:pPr>
              <w:shd w:val="clear" w:color="auto" w:fill="F4B8FF"/>
              <w:rPr>
                <w:highlight w:val="none"/>
                <w:lang w:eastAsia="ja-JP"/>
              </w:rPr>
            </w:pPr>
          </w:p>
        </w:tc>
        <w:tc>
          <w:tcPr>
            <w:tcW w:w="645"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23" w:type="dxa"/>
            <w:vAlign w:val="center"/>
          </w:tcPr>
          <w:p>
            <w:pPr>
              <w:shd w:val="clear" w:color="auto" w:fill="F4B8FF"/>
              <w:rPr>
                <w:highlight w:val="none"/>
                <w:lang w:eastAsia="ja-JP"/>
              </w:rPr>
            </w:pPr>
          </w:p>
        </w:tc>
        <w:tc>
          <w:tcPr>
            <w:tcW w:w="637" w:type="dxa"/>
            <w:shd w:val="pct25" w:color="auto" w:fill="auto"/>
            <w:vAlign w:val="center"/>
          </w:tcPr>
          <w:p>
            <w:pPr>
              <w:shd w:val="clear" w:color="auto" w:fill="F4B8FF"/>
              <w:rPr>
                <w:highlight w:val="none"/>
                <w:lang w:eastAsia="ja-JP"/>
              </w:rPr>
            </w:pPr>
          </w:p>
        </w:tc>
        <w:tc>
          <w:tcPr>
            <w:tcW w:w="688" w:type="dxa"/>
            <w:shd w:val="pct25" w:color="auto" w:fill="auto"/>
            <w:vAlign w:val="center"/>
          </w:tcPr>
          <w:p>
            <w:pPr>
              <w:shd w:val="clear" w:color="auto" w:fill="F4B8FF"/>
              <w:rPr>
                <w:highlight w:val="none"/>
                <w:lang w:eastAsia="ja-JP"/>
              </w:rPr>
            </w:pPr>
          </w:p>
        </w:tc>
        <w:tc>
          <w:tcPr>
            <w:tcW w:w="600" w:type="dxa"/>
            <w:shd w:val="pct25" w:color="auto" w:fill="auto"/>
            <w:vAlign w:val="center"/>
          </w:tcPr>
          <w:p>
            <w:pPr>
              <w:shd w:val="clear" w:color="auto" w:fill="F4B8FF"/>
              <w:rPr>
                <w:highlight w:val="none"/>
                <w:lang w:eastAsia="ja-JP"/>
              </w:rPr>
            </w:pPr>
          </w:p>
        </w:tc>
        <w:tc>
          <w:tcPr>
            <w:tcW w:w="587"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49"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9 (适用于CA二阶段/监督/再认证)</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23"/>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23"/>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7"/>
              </w:numPr>
              <w:rPr>
                <w:color w:val="0000FF"/>
                <w:lang w:val="en-GB"/>
              </w:rPr>
            </w:pPr>
            <w:r>
              <w:rPr>
                <w:rFonts w:hint="eastAsia"/>
                <w:color w:val="0000FF"/>
                <w:lang w:val="en-GB"/>
              </w:rPr>
              <w:t>餐厨垃圾处理</w:t>
            </w:r>
          </w:p>
          <w:p>
            <w:pPr>
              <w:numPr>
                <w:ilvl w:val="0"/>
                <w:numId w:val="7"/>
              </w:numPr>
              <w:rPr>
                <w:color w:val="0000FF"/>
                <w:lang w:val="en-GB"/>
              </w:rPr>
            </w:pPr>
            <w:r>
              <w:rPr>
                <w:rFonts w:hint="eastAsia"/>
                <w:color w:val="0000FF"/>
                <w:lang w:val="en-GB"/>
              </w:rPr>
              <w:t>虫害消杀</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食品安全</w:t>
                  </w:r>
                  <w:r>
                    <w:rPr>
                      <w:rFonts w:hint="eastAsia" w:ascii="宋体" w:hAnsi="宋体"/>
                    </w:rPr>
                    <w:t>目标</w:t>
                  </w:r>
                </w:p>
              </w:tc>
              <w:tc>
                <w:tcPr>
                  <w:tcW w:w="1521" w:type="dxa"/>
                  <w:shd w:val="clear" w:color="auto" w:fill="auto"/>
                </w:tcPr>
                <w:p>
                  <w:pPr>
                    <w:rPr>
                      <w:rFonts w:ascii="宋体" w:hAnsi="宋体"/>
                    </w:rPr>
                  </w:pPr>
                  <w:r>
                    <w:rPr>
                      <w:rFonts w:hint="eastAsia" w:ascii="宋体" w:hAnsi="宋体"/>
                    </w:rPr>
                    <w:t>考核频次</w:t>
                  </w:r>
                </w:p>
              </w:tc>
              <w:tc>
                <w:tcPr>
                  <w:tcW w:w="2965" w:type="dxa"/>
                  <w:shd w:val="clear" w:color="auto" w:fill="auto"/>
                </w:tcPr>
                <w:p>
                  <w:pPr>
                    <w:rPr>
                      <w:rFonts w:ascii="宋体" w:hAnsi="宋体"/>
                    </w:rPr>
                  </w:pPr>
                  <w:r>
                    <w:rPr>
                      <w:rFonts w:hint="eastAsia"/>
                      <w:color w:val="000000"/>
                      <w:szCs w:val="18"/>
                    </w:rPr>
                    <w:t>计算方法</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食品安全事故为零</w:t>
                  </w:r>
                </w:p>
              </w:tc>
              <w:tc>
                <w:tcPr>
                  <w:tcW w:w="1521" w:type="dxa"/>
                  <w:shd w:val="clear" w:color="auto" w:fill="auto"/>
                </w:tcPr>
                <w:p>
                  <w:pPr>
                    <w:widowControl/>
                    <w:spacing w:before="40"/>
                    <w:jc w:val="left"/>
                    <w:rPr>
                      <w:color w:val="000000"/>
                      <w:szCs w:val="21"/>
                      <w:lang w:val="en-GB"/>
                    </w:rPr>
                  </w:pPr>
                  <w:r>
                    <w:rPr>
                      <w:rFonts w:hint="eastAsia"/>
                      <w:color w:val="000000"/>
                      <w:szCs w:val="21"/>
                    </w:rPr>
                    <w:t>每年</w:t>
                  </w:r>
                </w:p>
              </w:tc>
              <w:tc>
                <w:tcPr>
                  <w:tcW w:w="2965" w:type="dxa"/>
                  <w:shd w:val="clear" w:color="auto" w:fill="auto"/>
                </w:tcPr>
                <w:p>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pPr>
                    <w:widowControl/>
                    <w:spacing w:before="40"/>
                    <w:jc w:val="left"/>
                    <w:rPr>
                      <w:color w:val="000000"/>
                      <w:szCs w:val="21"/>
                      <w:lang w:val="en-GB"/>
                    </w:rPr>
                  </w:pPr>
                  <w:r>
                    <w:rPr>
                      <w:rFonts w:hint="eastAsia"/>
                      <w:color w:val="000000"/>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关键控制点监控合格率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CCP的控制抽查合格数/总CCP点的控制数X100%</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采购物料合格率</w:t>
                  </w:r>
                </w:p>
              </w:tc>
              <w:tc>
                <w:tcPr>
                  <w:tcW w:w="1521" w:type="dxa"/>
                  <w:shd w:val="clear" w:color="auto" w:fill="auto"/>
                </w:tcPr>
                <w:p>
                  <w:pPr>
                    <w:widowControl/>
                    <w:spacing w:before="40"/>
                    <w:jc w:val="left"/>
                    <w:rPr>
                      <w:color w:val="000000"/>
                      <w:szCs w:val="21"/>
                    </w:rPr>
                  </w:pPr>
                  <w:r>
                    <w:rPr>
                      <w:rFonts w:hint="eastAsia"/>
                      <w:color w:val="000000"/>
                      <w:szCs w:val="21"/>
                    </w:rPr>
                    <w:t>每月</w:t>
                  </w:r>
                </w:p>
              </w:tc>
              <w:tc>
                <w:tcPr>
                  <w:tcW w:w="2965" w:type="dxa"/>
                  <w:shd w:val="clear" w:color="auto" w:fill="auto"/>
                </w:tcPr>
                <w:p>
                  <w:pPr>
                    <w:widowControl/>
                    <w:spacing w:before="40"/>
                    <w:jc w:val="left"/>
                    <w:rPr>
                      <w:color w:val="000000"/>
                      <w:szCs w:val="21"/>
                    </w:rPr>
                  </w:pPr>
                  <w:r>
                    <w:rPr>
                      <w:rFonts w:hint="eastAsia"/>
                      <w:color w:val="000000"/>
                      <w:szCs w:val="21"/>
                    </w:rPr>
                    <w:t>物料采购合格数量/采购总数量</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人员培训合格率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培训合格人数/总培训人数</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1521" w:type="dxa"/>
                  <w:shd w:val="clear" w:color="auto" w:fill="auto"/>
                  <w:vAlign w:val="center"/>
                </w:tcPr>
                <w:p>
                  <w:pPr>
                    <w:rPr>
                      <w:rFonts w:ascii="宋体" w:hAnsi="宋体"/>
                    </w:rPr>
                  </w:pPr>
                </w:p>
              </w:tc>
              <w:tc>
                <w:tcPr>
                  <w:tcW w:w="2965"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rPr>
                <w:color w:val="0000FF"/>
              </w:rPr>
            </w:pPr>
          </w:p>
          <w:p>
            <w:pPr>
              <w:rPr>
                <w:lang w:val="en-GB"/>
              </w:rPr>
            </w:pPr>
            <w:r>
              <w:rPr>
                <w:rFonts w:hint="eastAsia"/>
                <w:u w:val="single"/>
              </w:rPr>
              <w:t>《文件控制程序》编号：（ZX/CX-01）_</w:t>
            </w:r>
            <w:r>
              <w:rPr>
                <w:rFonts w:hint="eastAsia"/>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《记录控制程序》编号：（ZX/CX-02）</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法规当局（长沙区市场监督管理局）的2020年9月来公司现场检查，进行了现场检查，有3个整改意见，已关闭。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2020年10月15-16日， 2个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2020年1月8日</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以下改进措施已用书面形式确认，例如：</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r>
              <w:rPr>
                <w:rFonts w:hint="eastAsia"/>
              </w:rPr>
              <w:t>人力资源保障计划</w:t>
            </w:r>
          </w:p>
          <w:p>
            <w:r>
              <w:rPr>
                <w:rFonts w:hint="eastAsia" w:ascii="Cambria Math" w:hAnsi="Cambria Math" w:cs="Cambria Math"/>
              </w:rPr>
              <w:t>◆</w:t>
            </w:r>
            <w:r>
              <w:rPr>
                <w:rFonts w:hint="eastAsia"/>
              </w:rPr>
              <w:t>制订了各关键岗位的任职要求，关注了下列岗位的人员的能力：</w:t>
            </w:r>
          </w:p>
          <w:p>
            <w:pPr>
              <w:pStyle w:val="16"/>
              <w:numPr>
                <w:ilvl w:val="0"/>
                <w:numId w:val="8"/>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p>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6"/>
              <w:numPr>
                <w:ilvl w:val="0"/>
                <w:numId w:val="9"/>
              </w:numPr>
              <w:ind w:firstLineChars="0"/>
            </w:pPr>
            <w:r>
              <w:rPr>
                <w:rFonts w:hint="eastAsia"/>
              </w:rPr>
              <w:t>学历证书</w:t>
            </w:r>
          </w:p>
          <w:p>
            <w:pPr>
              <w:pStyle w:val="16"/>
              <w:numPr>
                <w:ilvl w:val="0"/>
                <w:numId w:val="9"/>
              </w:numPr>
              <w:ind w:firstLineChars="0"/>
            </w:pPr>
            <w:r>
              <w:rPr>
                <w:rFonts w:hint="eastAsia"/>
              </w:rPr>
              <w:t>培训文件</w:t>
            </w:r>
          </w:p>
          <w:p>
            <w:pPr>
              <w:pStyle w:val="16"/>
              <w:numPr>
                <w:ilvl w:val="0"/>
                <w:numId w:val="9"/>
              </w:numPr>
              <w:ind w:firstLineChars="0"/>
            </w:pPr>
            <w:r>
              <w:rPr>
                <w:rFonts w:hint="eastAsia"/>
              </w:rPr>
              <w:t>资格证书</w:t>
            </w:r>
          </w:p>
          <w:p/>
          <w:p>
            <w:r>
              <w:rPr>
                <w:rFonts w:hint="eastAsia" w:ascii="Cambria Math" w:hAnsi="Cambria Math" w:cs="Cambria Math"/>
              </w:rPr>
              <w:t>◆</w:t>
            </w:r>
            <w:r>
              <w:rPr>
                <w:rFonts w:hint="eastAsia"/>
              </w:rPr>
              <w:t>组织制定了</w:t>
            </w:r>
            <w:r>
              <w:rPr>
                <w:rFonts w:hint="eastAsia"/>
                <w:u w:val="single"/>
              </w:rPr>
              <w:t xml:space="preserve"> 2020</w:t>
            </w:r>
            <w:r>
              <w:rPr>
                <w:rFonts w:hint="eastAsia"/>
              </w:rPr>
              <w:t>年度的HACCP知识方面的培训计划；包括了 GMP/SSOP/HACCP的内容。</w:t>
            </w:r>
          </w:p>
          <w:p/>
          <w:p>
            <w:r>
              <w:rPr>
                <w:rFonts w:hint="eastAsia"/>
              </w:rPr>
              <w:t>以下培训记录被抽查：</w:t>
            </w:r>
          </w:p>
          <w:p>
            <w:pPr>
              <w:pStyle w:val="16"/>
              <w:numPr>
                <w:ilvl w:val="0"/>
                <w:numId w:val="10"/>
              </w:numPr>
              <w:ind w:firstLineChars="0"/>
            </w:pPr>
            <w:r>
              <w:rPr>
                <w:rFonts w:hint="eastAsia"/>
                <w:color w:val="0000FF"/>
                <w:u w:val="single"/>
              </w:rPr>
              <w:t>2020年7月15日</w:t>
            </w:r>
            <w:r>
              <w:rPr>
                <w:rFonts w:hint="eastAsia"/>
              </w:rPr>
              <w:t>食品安全知识培训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食品安全法规培训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rPr>
                <w:color w:val="000000"/>
              </w:rPr>
            </w:pPr>
            <w:r>
              <w:rPr>
                <w:rFonts w:hint="eastAsia"/>
                <w:color w:val="0000FF"/>
              </w:rPr>
              <w:t>□</w:t>
            </w:r>
            <w:r>
              <w:rPr>
                <w:rFonts w:hint="eastAsia"/>
              </w:rPr>
              <w:t>微生物基础知识</w:t>
            </w:r>
          </w:p>
          <w:p>
            <w:pPr>
              <w:rPr>
                <w:color w:val="000000"/>
              </w:rPr>
            </w:pPr>
            <w:r>
              <w:rPr>
                <w:rFonts w:hint="eastAsia"/>
                <w:color w:val="0000FF"/>
              </w:rPr>
              <w:t>□</w:t>
            </w:r>
            <w:r>
              <w:rPr>
                <w:rFonts w:hint="eastAsia"/>
              </w:rPr>
              <w:t>食品添加剂使用标准</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6"/>
              <w:numPr>
                <w:ilvl w:val="0"/>
                <w:numId w:val="11"/>
              </w:numPr>
              <w:autoSpaceDE w:val="0"/>
              <w:autoSpaceDN w:val="0"/>
              <w:adjustRightInd w:val="0"/>
              <w:ind w:firstLineChars="0"/>
              <w:jc w:val="left"/>
              <w:rPr>
                <w:color w:val="0000FF"/>
              </w:rPr>
            </w:pPr>
            <w:r>
              <w:rPr>
                <w:rFonts w:hint="eastAsia"/>
                <w:color w:val="0000FF"/>
                <w:szCs w:val="21"/>
              </w:rPr>
              <w:t>GB/T 27306-2008《食品安全管理体系餐饮业要求》</w:t>
            </w:r>
            <w:r>
              <w:rPr>
                <w:rFonts w:hint="eastAsia"/>
                <w:color w:val="0000FF"/>
              </w:rPr>
              <w:t>；</w:t>
            </w:r>
          </w:p>
          <w:p>
            <w:pPr>
              <w:pStyle w:val="16"/>
              <w:numPr>
                <w:ilvl w:val="0"/>
                <w:numId w:val="11"/>
              </w:numPr>
              <w:autoSpaceDE w:val="0"/>
              <w:autoSpaceDN w:val="0"/>
              <w:adjustRightInd w:val="0"/>
              <w:ind w:firstLineChars="0"/>
              <w:jc w:val="left"/>
              <w:rPr>
                <w:color w:val="0000FF"/>
              </w:rPr>
            </w:pPr>
            <w:r>
              <w:rPr>
                <w:rFonts w:hint="eastAsia" w:ascii="宋体" w:hAnsi="宋体"/>
                <w:color w:val="0000FF"/>
                <w:szCs w:val="21"/>
              </w:rPr>
              <w:t>GB/T33497-2017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widowControl/>
              <w:spacing w:before="20" w:after="40" w:line="240" w:lineRule="atLeast"/>
              <w:ind w:right="57"/>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GMP检查记录：——每月1次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现场查看GMP的实施情况——□良好□不良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int="eastAsia" w:hAnsi="宋体"/>
                <w:sz w:val="18"/>
                <w:szCs w:val="18"/>
              </w:rPr>
              <w:t>◆</w:t>
            </w:r>
            <w:r>
              <w:rPr>
                <w:rFonts w:hint="eastAsia"/>
                <w:szCs w:val="21"/>
              </w:rPr>
              <w:t>前提方案包括了以下的内容：</w:t>
            </w:r>
          </w:p>
          <w:p>
            <w:pPr>
              <w:snapToGrid w:val="0"/>
              <w:spacing w:line="264" w:lineRule="auto"/>
              <w:jc w:val="left"/>
              <w:rPr>
                <w:szCs w:val="21"/>
              </w:rPr>
            </w:pPr>
            <w:r>
              <w:rPr>
                <w:rFonts w:hint="eastAsia"/>
                <w:szCs w:val="21"/>
              </w:rPr>
              <w:t>e)对食品造成的危害</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a）接触食品（包括原料、半成品、成品）或与食品有接触的物品的水和冰应当符合安全、卫生要求；</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b）接触食品的器具、手套和内外包装材料等应清洁、卫生和安全；</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c）确保食品免受交叉污染；</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d）保证操作人员手的清洗消毒，保持洗手间设施的清洁；</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e）防止润滑剂、燃料、清洗消毒用品、冷凝水及其他化学、物理和生物等污染物对食品造成安全危害；</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f）正确标注、存放和使用各类有毒化学物质；</w:t>
            </w:r>
          </w:p>
          <w:p>
            <w:pPr>
              <w:widowControl/>
              <w:numPr>
                <w:ilvl w:val="0"/>
                <w:numId w:val="12"/>
              </w:numPr>
              <w:spacing w:before="60" w:after="60"/>
              <w:jc w:val="left"/>
              <w:rPr>
                <w:rFonts w:ascii="宋体" w:hAnsi="宋体" w:cs="宋体"/>
                <w:color w:val="0000FF"/>
              </w:rPr>
            </w:pPr>
            <w:r>
              <w:rPr>
                <w:rFonts w:hint="eastAsia" w:ascii="宋体" w:hAnsi="宋体" w:cs="宋体"/>
                <w:color w:val="0000FF"/>
              </w:rPr>
              <w:t>g）保证与食品接触的员工的身体健康和卫生；</w:t>
            </w:r>
          </w:p>
          <w:p>
            <w:pPr>
              <w:widowControl/>
              <w:numPr>
                <w:ilvl w:val="0"/>
                <w:numId w:val="12"/>
              </w:numPr>
              <w:snapToGrid w:val="0"/>
              <w:spacing w:before="40" w:after="40" w:line="264" w:lineRule="auto"/>
              <w:jc w:val="left"/>
              <w:rPr>
                <w:szCs w:val="21"/>
              </w:rPr>
            </w:pPr>
            <w:r>
              <w:rPr>
                <w:rFonts w:hint="eastAsia" w:ascii="宋体" w:hAnsi="宋体" w:cs="宋体"/>
                <w:color w:val="0000FF"/>
              </w:rPr>
              <w:t>h）清除和预防鼠害、虫害。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rFonts w:hint="eastAsia"/>
                <w:szCs w:val="21"/>
              </w:rPr>
              <w:t>◆ SSOP的实施记录——</w:t>
            </w:r>
            <w:r>
              <w:rPr>
                <w:rFonts w:hint="eastAsia"/>
                <w:color w:val="0000FF"/>
                <w:szCs w:val="18"/>
                <w:lang w:val="en-GB"/>
              </w:rPr>
              <w:t>每月1次</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灭鼠/灭蚊蝇/灭蟑螂记录——每天检查</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13"/>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4"/>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pPr>
              <w:widowControl/>
              <w:numPr>
                <w:ilvl w:val="0"/>
                <w:numId w:val="14"/>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建立和实施了供应商评价制度，包括不合格供方的淘汰制度；</w:t>
            </w:r>
          </w:p>
          <w:p>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主要原材料的供方—粮油、肉类、蔬菜、水产（长沙市岳麓区丰榕田园香生鲜店/长沙富饶农牧开发有限公司等）</w:t>
            </w:r>
          </w:p>
          <w:p>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pPr>
              <w:widowControl/>
              <w:numPr>
                <w:ilvl w:val="0"/>
                <w:numId w:val="2"/>
              </w:numPr>
              <w:snapToGrid w:val="0"/>
              <w:spacing w:before="40" w:after="40" w:line="264" w:lineRule="auto"/>
              <w:rPr>
                <w:szCs w:val="21"/>
              </w:rPr>
            </w:pPr>
          </w:p>
          <w:p>
            <w:pPr>
              <w:snapToGrid w:val="0"/>
              <w:spacing w:line="264" w:lineRule="auto"/>
              <w:rPr>
                <w:szCs w:val="21"/>
              </w:rPr>
            </w:pPr>
            <w:r>
              <w:rPr>
                <w:rFonts w:hint="eastAsia"/>
                <w:szCs w:val="21"/>
              </w:rPr>
              <w:t>原辅料、食品包装材料验收要求和程序，及索证</w:t>
            </w:r>
          </w:p>
          <w:p>
            <w:pPr>
              <w:widowControl/>
              <w:numPr>
                <w:ilvl w:val="0"/>
                <w:numId w:val="2"/>
              </w:numPr>
              <w:snapToGrid w:val="0"/>
              <w:spacing w:before="40" w:after="40" w:line="264" w:lineRule="auto"/>
              <w:rPr>
                <w:color w:val="0000FF"/>
                <w:szCs w:val="21"/>
              </w:rPr>
            </w:pPr>
            <w:r>
              <w:rPr>
                <w:rFonts w:hint="eastAsia"/>
                <w:color w:val="0000FF"/>
                <w:szCs w:val="21"/>
              </w:rPr>
              <w:t>主要原材料——猪肉，20201104，</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——蔬菜，20201110，</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辅料——红油豆瓣，20201017，</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hint="eastAsia" w:ascii="Wingdings" w:hAnsi="Wingdings"/>
                <w:color w:val="0000FF"/>
                <w:szCs w:val="21"/>
              </w:rPr>
              <w:t>¨</w:t>
            </w:r>
            <w:r>
              <w:rPr>
                <w:rFonts w:hint="eastAsia"/>
                <w:color w:val="0000FF"/>
                <w:szCs w:val="21"/>
              </w:rPr>
              <w:t>企业自检/</w:t>
            </w:r>
            <w:r>
              <w:rPr>
                <w:rFonts w:hint="eastAsia" w:ascii="Wingdings" w:hAnsi="Wingdings"/>
                <w:color w:val="0000FF"/>
                <w:szCs w:val="21"/>
              </w:rPr>
              <w:t>¨</w:t>
            </w:r>
            <w:r>
              <w:rPr>
                <w:rFonts w:hint="eastAsia"/>
                <w:color w:val="0000FF"/>
                <w:szCs w:val="21"/>
              </w:rPr>
              <w:t>委托检验/验证供方检测报告</w:t>
            </w:r>
          </w:p>
          <w:p>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hint="eastAsia" w:ascii="Wingdings" w:hAnsi="Wingdings"/>
                <w:color w:val="0000FF"/>
                <w:szCs w:val="21"/>
              </w:rPr>
              <w:t>¨</w:t>
            </w:r>
            <w:r>
              <w:rPr>
                <w:rFonts w:hint="eastAsia"/>
                <w:color w:val="0000FF"/>
                <w:szCs w:val="21"/>
              </w:rPr>
              <w:t>企业自检/</w:t>
            </w:r>
            <w:r>
              <w:rPr>
                <w:rFonts w:hint="eastAsia" w:ascii="Wingdings" w:hAnsi="Wingdings"/>
                <w:color w:val="0000FF"/>
                <w:szCs w:val="21"/>
              </w:rPr>
              <w:t>¨</w:t>
            </w:r>
            <w:r>
              <w:rPr>
                <w:rFonts w:hint="eastAsia"/>
                <w:color w:val="0000FF"/>
                <w:szCs w:val="21"/>
              </w:rPr>
              <w:t>委托检验/验证供方检测报告</w:t>
            </w:r>
          </w:p>
          <w:p>
            <w:pPr>
              <w:widowControl/>
              <w:numPr>
                <w:ilvl w:val="0"/>
                <w:numId w:val="2"/>
              </w:numPr>
              <w:snapToGrid w:val="0"/>
              <w:spacing w:before="40" w:after="40" w:line="264" w:lineRule="auto"/>
              <w:rPr>
                <w:color w:val="0000FF"/>
                <w:szCs w:val="21"/>
              </w:rPr>
            </w:pPr>
          </w:p>
          <w:p>
            <w:pPr>
              <w:snapToGrid w:val="0"/>
              <w:spacing w:line="264" w:lineRule="auto"/>
              <w:rPr>
                <w:szCs w:val="21"/>
              </w:rPr>
            </w:pPr>
          </w:p>
          <w:p>
            <w:pPr>
              <w:snapToGrid w:val="0"/>
              <w:spacing w:line="264" w:lineRule="auto"/>
              <w:rPr>
                <w:szCs w:val="21"/>
              </w:rPr>
            </w:pPr>
            <w:r>
              <w:rPr>
                <w:rFonts w:hint="eastAsia"/>
                <w:szCs w:val="21"/>
              </w:rPr>
              <w:t>原辅料、食品包装材料的追溯标识</w:t>
            </w:r>
          </w:p>
          <w:p>
            <w:pPr>
              <w:widowControl/>
              <w:numPr>
                <w:ilvl w:val="0"/>
                <w:numId w:val="15"/>
              </w:numPr>
              <w:snapToGrid w:val="0"/>
              <w:spacing w:before="40" w:after="40" w:line="264" w:lineRule="auto"/>
              <w:rPr>
                <w:color w:val="0000FF"/>
                <w:szCs w:val="21"/>
              </w:rPr>
            </w:pPr>
            <w:r>
              <w:rPr>
                <w:rFonts w:hint="eastAsia"/>
                <w:color w:val="0000FF"/>
                <w:szCs w:val="21"/>
              </w:rPr>
              <w:t>进货记录</w:t>
            </w:r>
          </w:p>
          <w:p>
            <w:pPr>
              <w:widowControl/>
              <w:numPr>
                <w:ilvl w:val="0"/>
                <w:numId w:val="15"/>
              </w:numPr>
              <w:snapToGrid w:val="0"/>
              <w:spacing w:before="40" w:after="40" w:line="264" w:lineRule="auto"/>
              <w:rPr>
                <w:color w:val="0000FF"/>
                <w:szCs w:val="21"/>
              </w:rPr>
            </w:pPr>
            <w:r>
              <w:rPr>
                <w:rFonts w:hint="eastAsia"/>
                <w:color w:val="0000FF"/>
                <w:szCs w:val="21"/>
              </w:rPr>
              <w:t>厨师</w:t>
            </w:r>
          </w:p>
          <w:p>
            <w:pPr>
              <w:widowControl/>
              <w:numPr>
                <w:ilvl w:val="0"/>
                <w:numId w:val="15"/>
              </w:numPr>
              <w:snapToGrid w:val="0"/>
              <w:spacing w:before="40" w:after="40" w:line="264" w:lineRule="auto"/>
              <w:rPr>
                <w:color w:val="0000FF"/>
                <w:szCs w:val="21"/>
              </w:rPr>
            </w:pPr>
            <w:r>
              <w:rPr>
                <w:rFonts w:hint="eastAsia"/>
                <w:color w:val="0000FF"/>
                <w:szCs w:val="21"/>
              </w:rPr>
              <w:t>区域</w:t>
            </w:r>
          </w:p>
          <w:p>
            <w:pPr>
              <w:widowControl/>
              <w:numPr>
                <w:ilvl w:val="0"/>
                <w:numId w:val="15"/>
              </w:numPr>
              <w:snapToGrid w:val="0"/>
              <w:spacing w:before="40" w:after="40" w:line="264" w:lineRule="auto"/>
              <w:rPr>
                <w:color w:val="0000FF"/>
                <w:szCs w:val="21"/>
              </w:rPr>
            </w:pPr>
            <w:r>
              <w:rPr>
                <w:rFonts w:hint="eastAsia"/>
                <w:color w:val="0000FF"/>
                <w:szCs w:val="21"/>
              </w:rPr>
              <w:t>餐食留样</w:t>
            </w:r>
          </w:p>
          <w:p>
            <w:pPr>
              <w:widowControl/>
              <w:numPr>
                <w:ilvl w:val="0"/>
                <w:numId w:val="15"/>
              </w:numPr>
              <w:snapToGrid w:val="0"/>
              <w:spacing w:before="40" w:after="40" w:line="264" w:lineRule="auto"/>
              <w:rPr>
                <w:szCs w:val="21"/>
              </w:rPr>
            </w:pPr>
          </w:p>
          <w:p>
            <w:pPr>
              <w:snapToGrid w:val="0"/>
              <w:spacing w:line="264" w:lineRule="auto"/>
              <w:rPr>
                <w:szCs w:val="21"/>
              </w:rPr>
            </w:pPr>
            <w:r>
              <w:rPr>
                <w:rFonts w:hint="eastAsia"/>
                <w:szCs w:val="21"/>
              </w:rPr>
              <w:t>企业使用食品添加剂符合/不符合GB2760的要求，如；</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pPr>
              <w:snapToGrid w:val="0"/>
              <w:spacing w:line="264" w:lineRule="auto"/>
              <w:rPr>
                <w:szCs w:val="21"/>
              </w:rPr>
            </w:pPr>
            <w:r>
              <w:rPr>
                <w:rFonts w:hint="eastAsia"/>
                <w:szCs w:val="21"/>
              </w:rPr>
              <w:t>检查维护保养计划的具体实施记录</w:t>
            </w:r>
          </w:p>
          <w:p>
            <w:pPr>
              <w:widowControl/>
              <w:numPr>
                <w:ilvl w:val="0"/>
                <w:numId w:val="2"/>
              </w:numPr>
              <w:snapToGrid w:val="0"/>
              <w:spacing w:before="40" w:after="40" w:line="264" w:lineRule="auto"/>
              <w:rPr>
                <w:color w:val="0000FF"/>
                <w:szCs w:val="21"/>
              </w:rPr>
            </w:pPr>
            <w:r>
              <w:rPr>
                <w:rFonts w:hint="eastAsia"/>
                <w:color w:val="0000FF"/>
                <w:szCs w:val="21"/>
              </w:rPr>
              <w:t>餐厅设施</w:t>
            </w:r>
          </w:p>
          <w:p>
            <w:pPr>
              <w:widowControl/>
              <w:numPr>
                <w:ilvl w:val="0"/>
                <w:numId w:val="2"/>
              </w:numPr>
              <w:snapToGrid w:val="0"/>
              <w:spacing w:before="40" w:after="40" w:line="264" w:lineRule="auto"/>
              <w:rPr>
                <w:color w:val="0000FF"/>
                <w:szCs w:val="21"/>
              </w:rPr>
            </w:pPr>
            <w:r>
              <w:rPr>
                <w:rFonts w:hint="eastAsia"/>
                <w:color w:val="0000FF"/>
                <w:szCs w:val="21"/>
              </w:rPr>
              <w:t>区域设施</w:t>
            </w:r>
          </w:p>
          <w:p>
            <w:pPr>
              <w:widowControl/>
              <w:numPr>
                <w:ilvl w:val="0"/>
                <w:numId w:val="2"/>
              </w:numPr>
              <w:snapToGrid w:val="0"/>
              <w:spacing w:before="40" w:after="40" w:line="264" w:lineRule="auto"/>
              <w:rPr>
                <w:color w:val="0000FF"/>
                <w:szCs w:val="21"/>
              </w:rPr>
            </w:pPr>
            <w:r>
              <w:rPr>
                <w:rFonts w:hint="eastAsia"/>
                <w:color w:val="0000FF"/>
                <w:szCs w:val="21"/>
              </w:rPr>
              <w:t>大堂设施</w:t>
            </w:r>
          </w:p>
          <w:p>
            <w:pPr>
              <w:widowControl/>
              <w:numPr>
                <w:ilvl w:val="0"/>
                <w:numId w:val="2"/>
              </w:numPr>
              <w:snapToGrid w:val="0"/>
              <w:spacing w:before="40" w:after="40" w:line="264" w:lineRule="auto"/>
              <w:rPr>
                <w:szCs w:val="21"/>
              </w:rPr>
            </w:pPr>
            <w:r>
              <w:rPr>
                <w:rFonts w:hint="eastAsia"/>
                <w:color w:val="0000FF"/>
                <w:szCs w:val="21"/>
              </w:rPr>
              <w:t>后厨加工设备</w:t>
            </w:r>
          </w:p>
          <w:p>
            <w:pPr>
              <w:snapToGrid w:val="0"/>
              <w:spacing w:line="264" w:lineRule="auto"/>
              <w:rPr>
                <w:szCs w:val="21"/>
              </w:rPr>
            </w:pPr>
            <w:r>
              <w:rPr>
                <w:rFonts w:hint="eastAsia"/>
                <w:szCs w:val="21"/>
              </w:rPr>
              <w:t>现场观察大堂、后厨、设施、设备等具体状况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71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rPr>
                <w:szCs w:val="21"/>
              </w:rPr>
            </w:pPr>
            <w:r>
              <w:rPr>
                <w:rFonts w:hint="eastAsia"/>
                <w:b/>
                <w:szCs w:val="21"/>
              </w:rPr>
              <w:t>产品标识和可追溯性计划</w:t>
            </w:r>
          </w:p>
          <w:p>
            <w:pPr>
              <w:snapToGrid w:val="0"/>
              <w:spacing w:line="264" w:lineRule="auto"/>
              <w:rPr>
                <w:szCs w:val="21"/>
              </w:rPr>
            </w:pPr>
            <w:r>
              <w:rPr>
                <w:rFonts w:hint="eastAsia"/>
                <w:szCs w:val="21"/>
              </w:rPr>
              <w:t>在食品生产全过程中，使用适宜的方法识别产品并具有可追溯性；</w:t>
            </w:r>
          </w:p>
          <w:p>
            <w:pPr>
              <w:snapToGrid w:val="0"/>
              <w:spacing w:line="264" w:lineRule="auto"/>
              <w:rPr>
                <w:szCs w:val="21"/>
              </w:rPr>
            </w:pPr>
            <w:r>
              <w:rPr>
                <w:rFonts w:hint="eastAsia"/>
                <w:szCs w:val="21"/>
              </w:rPr>
              <w:t>对监控和验证要求标识产品的状态</w:t>
            </w:r>
          </w:p>
          <w:p>
            <w:pPr>
              <w:snapToGrid w:val="0"/>
              <w:spacing w:line="264" w:lineRule="auto"/>
              <w:rPr>
                <w:szCs w:val="21"/>
              </w:rPr>
            </w:pPr>
            <w:r>
              <w:rPr>
                <w:rFonts w:hint="eastAsia"/>
                <w:szCs w:val="21"/>
              </w:rPr>
              <w:t>产品发运记录，记录内容包括所有分销方、零售商、顾客或消费者</w:t>
            </w:r>
          </w:p>
          <w:p>
            <w:pPr>
              <w:jc w:val="left"/>
              <w:rPr>
                <w:lang w:val="en-GB"/>
              </w:rPr>
            </w:pPr>
            <w:r>
              <w:rPr>
                <w:rFonts w:hint="eastAsia"/>
                <w:lang w:val="en-GB"/>
              </w:rPr>
              <w:t>在本审核时，通过抽查保留的样品/产品_</w:t>
            </w:r>
            <w:r>
              <w:rPr>
                <w:rFonts w:hint="eastAsia"/>
                <w:b/>
                <w:color w:val="0000FF"/>
                <w:u w:val="single"/>
              </w:rPr>
              <w:t>产品名称</w:t>
            </w:r>
            <w:r>
              <w:rPr>
                <w:rFonts w:hint="eastAsia"/>
                <w:u w:val="single"/>
                <w:lang w:val="en-GB"/>
              </w:rPr>
              <w:t>：</w:t>
            </w:r>
            <w:r>
              <w:rPr>
                <w:rFonts w:hint="eastAsia"/>
                <w:b/>
                <w:color w:val="0000FF"/>
                <w:u w:val="single"/>
              </w:rPr>
              <w:t>芹菜炒肉；批号： 2020-10-30</w:t>
            </w:r>
            <w:r>
              <w:rPr>
                <w:rFonts w:hint="eastAsia"/>
                <w:color w:val="0000FF"/>
                <w:u w:val="single"/>
              </w:rPr>
              <w:t>_.</w:t>
            </w:r>
            <w:r>
              <w:rPr>
                <w:rFonts w:hint="eastAsia"/>
                <w:u w:val="single"/>
              </w:rPr>
              <w:t>_</w:t>
            </w:r>
            <w:r>
              <w:rPr>
                <w:rFonts w:hint="eastAsia"/>
                <w:lang w:val="en-GB"/>
              </w:rPr>
              <w:t>进行了标识和可追溯检查，结果有效。</w:t>
            </w:r>
          </w:p>
          <w:p>
            <w:pPr>
              <w:rPr>
                <w:b/>
              </w:rPr>
            </w:pPr>
            <w:r>
              <w:rPr>
                <w:rFonts w:hint="eastAsia"/>
                <w:b/>
              </w:rPr>
              <w:t>产品召回计划</w:t>
            </w:r>
          </w:p>
          <w:p>
            <w:pPr>
              <w:rPr>
                <w:szCs w:val="21"/>
              </w:rPr>
            </w:pPr>
            <w:r>
              <w:rPr>
                <w:rFonts w:hint="eastAsia"/>
                <w:szCs w:val="21"/>
              </w:rPr>
              <w:t>产品召回计划包括了下列内容：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p>
            <w:pPr>
              <w:tabs>
                <w:tab w:val="left" w:pos="510"/>
              </w:tabs>
              <w:autoSpaceDE w:val="0"/>
              <w:autoSpaceDN w:val="0"/>
              <w:adjustRightInd w:val="0"/>
              <w:ind w:right="6"/>
            </w:pP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rFonts w:hint="eastAsia"/>
                <w:szCs w:val="21"/>
              </w:rPr>
              <w:t>已识别的潜在事件或紧急情况、制订了应急准备与响应预案，能够防止或减少食品安全危害。</w:t>
            </w:r>
          </w:p>
          <w:p>
            <w:pPr>
              <w:tabs>
                <w:tab w:val="left" w:pos="510"/>
              </w:tabs>
              <w:autoSpaceDE w:val="0"/>
              <w:autoSpaceDN w:val="0"/>
              <w:adjustRightInd w:val="0"/>
              <w:ind w:right="6"/>
              <w:rPr>
                <w:szCs w:val="21"/>
              </w:rPr>
            </w:pPr>
            <w:r>
              <w:rPr>
                <w:rFonts w:hint="eastAsia"/>
                <w:szCs w:val="21"/>
              </w:rPr>
              <w:t>对程序进行定期演练，对程序进行评审、修订的规定：</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color w:val="0000FF"/>
                      <w:lang w:val="en-GB"/>
                    </w:rPr>
                  </w:pPr>
                  <w:r>
                    <w:rPr>
                      <w:rFonts w:hint="eastAsia"/>
                      <w:color w:val="0000FF"/>
                    </w:rPr>
                    <w:t>办公室主任</w:t>
                  </w:r>
                </w:p>
              </w:tc>
              <w:tc>
                <w:tcPr>
                  <w:tcW w:w="2334" w:type="dxa"/>
                  <w:shd w:val="clear" w:color="auto" w:fill="FFFFFF"/>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w:t>
                  </w:r>
                </w:p>
              </w:tc>
              <w:tc>
                <w:tcPr>
                  <w:tcW w:w="2334" w:type="dxa"/>
                  <w:shd w:val="clear" w:color="auto" w:fill="auto"/>
                </w:tcPr>
                <w:p>
                  <w:pPr>
                    <w:rPr>
                      <w:color w:val="0000FF"/>
                    </w:rPr>
                  </w:pPr>
                </w:p>
              </w:tc>
            </w:tr>
          </w:tbl>
          <w:p>
            <w:pPr>
              <w:rPr>
                <w:szCs w:val="21"/>
              </w:rPr>
            </w:pPr>
          </w:p>
          <w:p>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widowControl/>
              <w:numPr>
                <w:ilvl w:val="0"/>
                <w:numId w:val="6"/>
              </w:numPr>
              <w:spacing w:before="40" w:after="40"/>
              <w:rPr>
                <w:color w:val="0000FF"/>
                <w:szCs w:val="21"/>
              </w:rPr>
            </w:pPr>
            <w:r>
              <w:rPr>
                <w:rFonts w:hint="eastAsia"/>
                <w:color w:val="0000FF"/>
                <w:szCs w:val="21"/>
              </w:rPr>
              <w:t>肉类</w:t>
            </w:r>
          </w:p>
          <w:p>
            <w:pPr>
              <w:widowControl/>
              <w:numPr>
                <w:ilvl w:val="0"/>
                <w:numId w:val="6"/>
              </w:numPr>
              <w:spacing w:before="40" w:after="40"/>
              <w:rPr>
                <w:color w:val="0000FF"/>
                <w:szCs w:val="21"/>
              </w:rPr>
            </w:pPr>
            <w:r>
              <w:rPr>
                <w:rFonts w:hint="eastAsia"/>
                <w:color w:val="0000FF"/>
                <w:szCs w:val="21"/>
              </w:rPr>
              <w:t>水</w:t>
            </w:r>
          </w:p>
          <w:p>
            <w:pPr>
              <w:widowControl/>
              <w:numPr>
                <w:ilvl w:val="0"/>
                <w:numId w:val="6"/>
              </w:numPr>
              <w:spacing w:before="40" w:after="40"/>
              <w:rPr>
                <w:color w:val="0000FF"/>
                <w:szCs w:val="21"/>
              </w:rPr>
            </w:pPr>
            <w:r>
              <w:rPr>
                <w:rFonts w:hint="eastAsia"/>
                <w:color w:val="0000FF"/>
                <w:szCs w:val="21"/>
              </w:rPr>
              <w:t>食用油</w:t>
            </w:r>
          </w:p>
          <w:p>
            <w:pPr>
              <w:widowControl/>
              <w:numPr>
                <w:ilvl w:val="0"/>
                <w:numId w:val="6"/>
              </w:numPr>
              <w:spacing w:before="40" w:after="40"/>
              <w:rPr>
                <w:color w:val="0000FF"/>
                <w:szCs w:val="21"/>
              </w:rPr>
            </w:pPr>
            <w:r>
              <w:rPr>
                <w:rFonts w:hint="eastAsia"/>
                <w:color w:val="0000FF"/>
                <w:szCs w:val="21"/>
              </w:rPr>
              <w:t>大米</w:t>
            </w:r>
          </w:p>
          <w:p>
            <w:pPr>
              <w:widowControl/>
              <w:numPr>
                <w:ilvl w:val="0"/>
                <w:numId w:val="6"/>
              </w:numPr>
              <w:spacing w:before="40" w:after="40"/>
              <w:rPr>
                <w:color w:val="0000FF"/>
                <w:szCs w:val="21"/>
              </w:rPr>
            </w:pPr>
            <w:r>
              <w:rPr>
                <w:rFonts w:hint="eastAsia"/>
                <w:color w:val="0000FF"/>
                <w:szCs w:val="21"/>
              </w:rPr>
              <w:t>酱油</w:t>
            </w:r>
          </w:p>
          <w:p>
            <w:pPr>
              <w:widowControl/>
              <w:numPr>
                <w:ilvl w:val="0"/>
                <w:numId w:val="6"/>
              </w:numPr>
              <w:spacing w:before="40" w:after="40"/>
              <w:rPr>
                <w:color w:val="0000FF"/>
                <w:szCs w:val="21"/>
              </w:rPr>
            </w:pPr>
            <w:r>
              <w:rPr>
                <w:rFonts w:hint="eastAsia"/>
                <w:color w:val="0000FF"/>
                <w:szCs w:val="21"/>
              </w:rPr>
              <w:t>大豆油</w:t>
            </w:r>
          </w:p>
          <w:p>
            <w:pPr>
              <w:widowControl/>
              <w:numPr>
                <w:ilvl w:val="0"/>
                <w:numId w:val="6"/>
              </w:numPr>
              <w:spacing w:before="40" w:after="40"/>
              <w:rPr>
                <w:color w:val="0000FF"/>
                <w:szCs w:val="21"/>
              </w:rPr>
            </w:pPr>
            <w:r>
              <w:rPr>
                <w:rFonts w:hint="eastAsia"/>
                <w:color w:val="0000FF"/>
                <w:szCs w:val="21"/>
              </w:rPr>
              <w:t>洗洁精</w:t>
            </w:r>
          </w:p>
          <w:p>
            <w:pPr>
              <w:widowControl/>
              <w:numPr>
                <w:ilvl w:val="0"/>
                <w:numId w:val="6"/>
              </w:numPr>
              <w:spacing w:before="40" w:after="40"/>
              <w:rPr>
                <w:color w:val="0000FF"/>
                <w:szCs w:val="21"/>
              </w:rPr>
            </w:pPr>
            <w:r>
              <w:rPr>
                <w:rFonts w:hint="eastAsia"/>
                <w:color w:val="0000FF"/>
                <w:szCs w:val="21"/>
              </w:rPr>
              <w:t>餐盒</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widowControl/>
              <w:numPr>
                <w:ilvl w:val="0"/>
                <w:numId w:val="6"/>
              </w:numPr>
              <w:spacing w:before="40" w:after="40"/>
              <w:rPr>
                <w:color w:val="0000FF"/>
                <w:szCs w:val="21"/>
              </w:rPr>
            </w:pPr>
            <w:r>
              <w:rPr>
                <w:rFonts w:hint="eastAsia"/>
                <w:color w:val="0000FF"/>
                <w:szCs w:val="21"/>
              </w:rPr>
              <w:t>菜肴</w:t>
            </w:r>
          </w:p>
          <w:p>
            <w:pPr>
              <w:widowControl/>
              <w:numPr>
                <w:ilvl w:val="0"/>
                <w:numId w:val="6"/>
              </w:numPr>
              <w:spacing w:before="40" w:after="40"/>
              <w:rPr>
                <w:color w:val="0000FF"/>
                <w:szCs w:val="21"/>
              </w:rPr>
            </w:pPr>
            <w:r>
              <w:rPr>
                <w:rFonts w:hint="eastAsia"/>
                <w:color w:val="0000FF"/>
                <w:szCs w:val="21"/>
              </w:rPr>
              <w:t>米饭等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预期用途的确定</w:t>
            </w:r>
          </w:p>
          <w:p>
            <w:r>
              <w:rPr>
                <w:rFonts w:hint="eastAsia"/>
              </w:rPr>
              <w:t>HACCP小组在产品描述的基础上，识别并确定进行危害分析所需的下列适用信息：</w:t>
            </w:r>
          </w:p>
          <w:p>
            <w:r>
              <w:rPr>
                <w:rFonts w:hint="eastAsia"/>
              </w:rPr>
              <w:t>a) 顾客对产品的消费或使用期望；</w:t>
            </w:r>
          </w:p>
          <w:p>
            <w:r>
              <w:rPr>
                <w:rFonts w:hint="eastAsia"/>
              </w:rPr>
              <w:t>b)产品的预期用途和储藏条件，以及保质期；</w:t>
            </w:r>
          </w:p>
          <w:p>
            <w:r>
              <w:rPr>
                <w:rFonts w:hint="eastAsia"/>
              </w:rPr>
              <w:t>c)产品预期的食用或使用方式；</w:t>
            </w:r>
          </w:p>
          <w:p>
            <w:r>
              <w:rPr>
                <w:rFonts w:hint="eastAsia"/>
              </w:rPr>
              <w:t>d）产品预期的顾客对象；</w:t>
            </w:r>
          </w:p>
          <w:p>
            <w:r>
              <w:rPr>
                <w:rFonts w:hint="eastAsia"/>
              </w:rPr>
              <w:t>e）直接消费产品对易受伤害群体的适用性；</w:t>
            </w:r>
          </w:p>
          <w:p>
            <w:r>
              <w:rPr>
                <w:rFonts w:hint="eastAsia"/>
              </w:rPr>
              <w:t>f）产品非预期（但极可能出现）的食用或使用方式；</w:t>
            </w:r>
          </w:p>
          <w:p>
            <w:r>
              <w:rPr>
                <w:rFonts w:hint="eastAsia"/>
              </w:rPr>
              <w:t>g）其他必要的信息。</w:t>
            </w:r>
          </w:p>
          <w:p>
            <w:pPr>
              <w:autoSpaceDE w:val="0"/>
              <w:autoSpaceDN w:val="0"/>
              <w:adjustRightInd w:val="0"/>
            </w:pPr>
          </w:p>
          <w:p>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r>
              <w:rPr>
                <w:rFonts w:hint="eastAsia"/>
              </w:rPr>
              <w:t>1)每个步骤及其相应操作；</w:t>
            </w:r>
          </w:p>
          <w:p>
            <w:r>
              <w:rPr>
                <w:rFonts w:hint="eastAsia"/>
              </w:rPr>
              <w:t>2)这些步骤之间的顺序和相互关系；</w:t>
            </w:r>
          </w:p>
          <w:p>
            <w:r>
              <w:rPr>
                <w:rFonts w:hint="eastAsia"/>
              </w:rPr>
              <w:t>3)返工点和循环点（适宜时）；</w:t>
            </w:r>
          </w:p>
          <w:p>
            <w:r>
              <w:rPr>
                <w:rFonts w:hint="eastAsia"/>
              </w:rPr>
              <w:t>4)外部的过程和外包的内容；</w:t>
            </w:r>
          </w:p>
          <w:p>
            <w:r>
              <w:rPr>
                <w:rFonts w:hint="eastAsia"/>
              </w:rPr>
              <w:t>5)原料、辅料和中间产品的投入点；</w:t>
            </w:r>
          </w:p>
          <w:p>
            <w:r>
              <w:rPr>
                <w:rFonts w:hint="eastAsia"/>
              </w:rPr>
              <w:t>6)废弃物的排放点。</w:t>
            </w:r>
          </w:p>
          <w:p>
            <w:pPr>
              <w:widowControl/>
              <w:numPr>
                <w:ilvl w:val="0"/>
                <w:numId w:val="4"/>
              </w:numPr>
              <w:autoSpaceDE w:val="0"/>
              <w:autoSpaceDN w:val="0"/>
              <w:adjustRightInd w:val="0"/>
              <w:rPr>
                <w:b/>
                <w:color w:val="0000FF"/>
              </w:rPr>
            </w:pPr>
            <w:r>
              <w:rPr>
                <w:rFonts w:hint="eastAsia"/>
                <w:color w:val="0000FF"/>
              </w:rPr>
              <w:t>食堂位置图</w:t>
            </w:r>
          </w:p>
          <w:p>
            <w:pPr>
              <w:widowControl/>
              <w:numPr>
                <w:ilvl w:val="0"/>
                <w:numId w:val="4"/>
              </w:numPr>
              <w:autoSpaceDE w:val="0"/>
              <w:autoSpaceDN w:val="0"/>
              <w:adjustRightInd w:val="0"/>
              <w:rPr>
                <w:b/>
                <w:color w:val="0000FF"/>
              </w:rPr>
            </w:pPr>
            <w:r>
              <w:rPr>
                <w:rFonts w:hint="eastAsia"/>
                <w:color w:val="0000FF"/>
              </w:rPr>
              <w:t>区域平面图</w:t>
            </w:r>
          </w:p>
          <w:p>
            <w:pPr>
              <w:widowControl/>
              <w:numPr>
                <w:ilvl w:val="0"/>
                <w:numId w:val="4"/>
              </w:numPr>
              <w:autoSpaceDE w:val="0"/>
              <w:autoSpaceDN w:val="0"/>
              <w:adjustRightInd w:val="0"/>
              <w:rPr>
                <w:b/>
                <w:color w:val="0000FF"/>
              </w:rPr>
            </w:pPr>
            <w:r>
              <w:rPr>
                <w:rFonts w:hint="eastAsia"/>
                <w:color w:val="0000FF"/>
              </w:rPr>
              <w:t>车间平面图</w:t>
            </w:r>
          </w:p>
          <w:p>
            <w:pPr>
              <w:widowControl/>
              <w:numPr>
                <w:ilvl w:val="0"/>
                <w:numId w:val="4"/>
              </w:numPr>
              <w:autoSpaceDE w:val="0"/>
              <w:autoSpaceDN w:val="0"/>
              <w:adjustRightInd w:val="0"/>
              <w:rPr>
                <w:b/>
                <w:color w:val="0000FF"/>
              </w:rPr>
            </w:pPr>
            <w:r>
              <w:rPr>
                <w:rFonts w:hint="eastAsia"/>
                <w:color w:val="0000FF"/>
              </w:rPr>
              <w:t>人流物流图</w:t>
            </w:r>
          </w:p>
          <w:p>
            <w:pPr>
              <w:widowControl/>
              <w:numPr>
                <w:ilvl w:val="0"/>
                <w:numId w:val="4"/>
              </w:numPr>
              <w:autoSpaceDE w:val="0"/>
              <w:autoSpaceDN w:val="0"/>
              <w:adjustRightInd w:val="0"/>
              <w:rPr>
                <w:b/>
                <w:color w:val="0000FF"/>
              </w:rPr>
            </w:pPr>
            <w:r>
              <w:rPr>
                <w:rFonts w:hint="eastAsia"/>
                <w:color w:val="0000FF"/>
              </w:rPr>
              <w:t>供排水网络图</w:t>
            </w:r>
          </w:p>
          <w:p>
            <w:pPr>
              <w:widowControl/>
              <w:numPr>
                <w:ilvl w:val="0"/>
                <w:numId w:val="4"/>
              </w:numPr>
              <w:autoSpaceDE w:val="0"/>
              <w:autoSpaceDN w:val="0"/>
              <w:adjustRightInd w:val="0"/>
              <w:rPr>
                <w:b/>
                <w:color w:val="0000FF"/>
              </w:rPr>
            </w:pPr>
            <w:r>
              <w:rPr>
                <w:rFonts w:hint="eastAsia"/>
                <w:color w:val="0000FF"/>
              </w:rPr>
              <w:t>防虫害分布图</w:t>
            </w:r>
          </w:p>
          <w:p>
            <w:pPr>
              <w:widowControl/>
              <w:numPr>
                <w:ilvl w:val="0"/>
                <w:numId w:val="4"/>
              </w:numPr>
              <w:autoSpaceDE w:val="0"/>
              <w:autoSpaceDN w:val="0"/>
              <w:adjustRightInd w:val="0"/>
              <w:rPr>
                <w:b/>
              </w:rPr>
            </w:pPr>
            <w:r>
              <w:rPr>
                <w:rFonts w:hint="eastAsia"/>
              </w:rPr>
              <w:t>等</w:t>
            </w:r>
          </w:p>
          <w:p>
            <w:r>
              <w:rPr>
                <w:rFonts w:hint="eastAsia"/>
              </w:rPr>
              <w:t>各种流程图和平面图</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流程图的确认</w:t>
            </w:r>
          </w:p>
          <w:p>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由熟悉操作工艺的HACCP小组人员对所有操作步骤在操作状态下进行现场核查，确认并证实与所制定流程图的一致性，</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rFonts w:hint="eastAsia"/>
                <w:b/>
              </w:rPr>
              <w:t>危害识别</w:t>
            </w:r>
          </w:p>
          <w:p>
            <w:r>
              <w:rPr>
                <w:rFonts w:hint="eastAsia"/>
              </w:rPr>
              <w:t>HACCP小组是否根据以下方面的因素，在分析了加工步骤中存在的生物、化学、物理危害，</w:t>
            </w:r>
          </w:p>
          <w:p>
            <w:r>
              <w:rPr>
                <w:rFonts w:hint="eastAsia"/>
              </w:rPr>
              <w:t>1）产品、操作和环境；</w:t>
            </w:r>
          </w:p>
          <w:p>
            <w:r>
              <w:rPr>
                <w:rFonts w:hint="eastAsia"/>
              </w:rPr>
              <w:t>2）消费者或顾客和法律法规对产品及原辅料、食品包装材料的安全卫生要求；</w:t>
            </w:r>
          </w:p>
          <w:p>
            <w:r>
              <w:rPr>
                <w:rFonts w:hint="eastAsia"/>
              </w:rPr>
              <w:t>3）产品食用、使用安全的监控和评价结果；</w:t>
            </w:r>
          </w:p>
          <w:p>
            <w:r>
              <w:rPr>
                <w:rFonts w:hint="eastAsia"/>
              </w:rPr>
              <w:t>4）不安全产品处置、纠偏、召回和应急预案的状况；</w:t>
            </w:r>
          </w:p>
          <w:p>
            <w:r>
              <w:rPr>
                <w:rFonts w:hint="eastAsia"/>
              </w:rPr>
              <w:t>5）历史上和当前的流行病学、动植物疫情或疾病统计数据和食品安全事故案例；</w:t>
            </w:r>
          </w:p>
          <w:p>
            <w:r>
              <w:rPr>
                <w:rFonts w:hint="eastAsia"/>
              </w:rPr>
              <w:t>6）科技文献，包括相关类别产品的危害控制指南；</w:t>
            </w:r>
          </w:p>
          <w:p>
            <w:r>
              <w:rPr>
                <w:rFonts w:hint="eastAsia"/>
              </w:rPr>
              <w:t>7）危害识别范围内的其他步骤对产品产生的影响；</w:t>
            </w:r>
          </w:p>
          <w:p>
            <w:r>
              <w:rPr>
                <w:rFonts w:hint="eastAsia"/>
              </w:rPr>
              <w:t>8)人为的破坏和蓄意污染等情况；</w:t>
            </w:r>
          </w:p>
          <w:p>
            <w:r>
              <w:rPr>
                <w:rFonts w:hint="eastAsia"/>
              </w:rPr>
              <w:t>9) 经验。</w:t>
            </w:r>
          </w:p>
          <w:p>
            <w:r>
              <w:rPr>
                <w:rFonts w:hint="eastAsia"/>
              </w:rPr>
              <w:t>在从原料生产直到最终消费的范围内，是否针对需考虑的所有危害，识别其在每个操作步骤中根据预期被引入、产生或增长的所有潜在危害及其原因。</w:t>
            </w:r>
          </w:p>
          <w:p>
            <w:r>
              <w:rPr>
                <w:rFonts w:hint="eastAsia"/>
              </w:rPr>
              <w:t>当影响危害识别结果的任何因素发生变化时，HACCP小组是否重新进行危害识别。</w:t>
            </w:r>
          </w:p>
          <w:p>
            <w:pPr>
              <w:tabs>
                <w:tab w:val="right" w:pos="3119"/>
              </w:tabs>
            </w:pPr>
            <w:r>
              <w:rPr>
                <w:rFonts w:hint="eastAsia"/>
              </w:rPr>
              <w:t>是否保持危害识别依据和结果的记录。</w:t>
            </w:r>
          </w:p>
          <w:p>
            <w:pPr>
              <w:tabs>
                <w:tab w:val="right" w:pos="3119"/>
              </w:tabs>
              <w:rPr>
                <w:b/>
              </w:rPr>
            </w:pPr>
            <w:r>
              <w:rPr>
                <w:rFonts w:hint="eastAsia"/>
                <w:b/>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b/>
                      <w:color w:val="0000FF"/>
                      <w:lang w:val="en-GB"/>
                    </w:rPr>
                  </w:pPr>
                  <w:r>
                    <w:rPr>
                      <w:rFonts w:hint="eastAsia"/>
                      <w:b/>
                      <w:color w:val="0000FF"/>
                      <w:lang w:val="en-GB"/>
                    </w:rPr>
                    <w:t>米饭</w:t>
                  </w:r>
                </w:p>
              </w:tc>
              <w:tc>
                <w:tcPr>
                  <w:tcW w:w="6344"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r>
                    <w:rPr>
                      <w:rFonts w:hint="eastAsia"/>
                      <w:b/>
                      <w:color w:val="0000FF"/>
                      <w:lang w:val="en-GB"/>
                    </w:rPr>
                    <w:t>菜肴</w:t>
                  </w:r>
                </w:p>
              </w:tc>
              <w:tc>
                <w:tcPr>
                  <w:tcW w:w="6344" w:type="dxa"/>
                  <w:shd w:val="clear" w:color="auto" w:fill="auto"/>
                  <w:vAlign w:val="bottom"/>
                </w:tcPr>
                <w:p>
                  <w:pPr>
                    <w:rPr>
                      <w:b/>
                      <w:color w:val="0000FF"/>
                      <w:lang w:val="en-GB"/>
                    </w:rPr>
                  </w:pPr>
                  <w:r>
                    <w:rPr>
                      <w:rFonts w:hint="eastAsia"/>
                      <w:b/>
                      <w:color w:val="0000FF"/>
                      <w:lang w:val="en-GB"/>
                    </w:rPr>
                    <w:t>有害微生物、</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jc w:val="center"/>
                    <w:rPr>
                      <w:b/>
                    </w:rPr>
                  </w:pPr>
                  <w:r>
                    <w:rPr>
                      <w:rFonts w:hint="eastAsia"/>
                      <w:b/>
                    </w:rPr>
                    <w:t>主要原料</w:t>
                  </w:r>
                </w:p>
              </w:tc>
              <w:tc>
                <w:tcPr>
                  <w:tcW w:w="3497"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肉类</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洗洁精</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tabs>
                <w:tab w:val="right" w:pos="3119"/>
              </w:tabs>
              <w:rPr>
                <w:lang w:val="en-GB"/>
              </w:rPr>
            </w:pPr>
            <w:r>
              <w:rPr>
                <w:rFonts w:hint="eastAsia"/>
                <w:lang w:val="en-GB"/>
              </w:rPr>
              <w:t>保持了危害评估依据和结果的记录。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控制措施的制定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rPr>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rPr>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rPr>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rPr>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tabs>
                <w:tab w:val="right" w:pos="3119"/>
              </w:tabs>
              <w:rPr>
                <w:lang w:val="en-GB"/>
              </w:rPr>
            </w:pPr>
            <w:r>
              <w:rPr>
                <w:rFonts w:hint="eastAsia"/>
                <w:lang w:val="en-GB"/>
              </w:rPr>
              <w:t>是否保持控制措施的制定依据和控制措施文件。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Ansi="宋体"/>
                <w:b/>
                <w:szCs w:val="21"/>
              </w:rPr>
            </w:pPr>
            <w:r>
              <w:rPr>
                <w:rFonts w:hint="eastAsia" w:hAnsi="宋体"/>
                <w:b/>
                <w:szCs w:val="21"/>
              </w:rPr>
              <w:t>危害分析工作单</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rPr>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autoSpaceDE w:val="0"/>
              <w:autoSpaceDN w:val="0"/>
              <w:adjustRightInd w:val="0"/>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关键控制点（CCP）的确定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rPr>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rPr>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autoSpaceDE w:val="0"/>
              <w:autoSpaceDN w:val="0"/>
              <w:adjustRightInd w:val="0"/>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关键限值（critical limit）的确定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rPr>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rPr>
                <w:lang w:val="en-GB"/>
              </w:rPr>
            </w:pPr>
            <w:r>
              <w:rPr>
                <w:rFonts w:hint="eastAsia"/>
                <w:lang w:val="en-GB"/>
              </w:rPr>
              <w:t>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rPr>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rPr>
                <w:rFonts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rPr>
                <w:rFonts w:hAnsi="宋体"/>
              </w:rPr>
            </w:pPr>
            <w:r>
              <w:rPr>
                <w:rFonts w:hint="eastAsia" w:hAnsi="宋体"/>
              </w:rPr>
              <w:t>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rPr>
                <w:rFonts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适宜，当采用非连续监控时，其频次应能保证CCP受控的需要；</w:t>
            </w:r>
          </w:p>
          <w:p>
            <w:pPr>
              <w:rPr>
                <w:rFonts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tabs>
                <w:tab w:val="right" w:pos="3119"/>
              </w:tabs>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r>
              <w:rPr>
                <w:rFonts w:hint="eastAsia"/>
              </w:rPr>
              <w:t>在对偏离时的产品，如何处理</w:t>
            </w:r>
          </w:p>
          <w:p>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tabs>
                <w:tab w:val="right" w:pos="3119"/>
              </w:tabs>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jc w:val="left"/>
              <w:rPr>
                <w:b/>
                <w:lang w:val="en-GB"/>
              </w:rPr>
            </w:pPr>
            <w:r>
              <w:rPr>
                <w:rFonts w:hint="eastAsia"/>
                <w:b/>
                <w:lang w:val="en-GB"/>
              </w:rPr>
              <w:t>7.8HACCP计划的确认和验证</w:t>
            </w:r>
          </w:p>
          <w:p>
            <w:pPr>
              <w:jc w:val="left"/>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jc w:val="left"/>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日，进行确认了HACCP计划。</w:t>
            </w:r>
          </w:p>
          <w:p>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日，进行验证了HACCP计划。</w:t>
            </w:r>
          </w:p>
          <w:p>
            <w:pPr>
              <w:jc w:val="left"/>
            </w:pPr>
          </w:p>
          <w:p>
            <w:pPr>
              <w:jc w:val="left"/>
            </w:pPr>
            <w:r>
              <w:rPr>
                <w:rFonts w:hint="eastAsia"/>
              </w:rPr>
              <w:t>监控设备</w:t>
            </w:r>
            <w:r>
              <w:rPr>
                <w:rFonts w:hint="eastAsia" w:ascii="Wingdings" w:hAnsi="Wingdings"/>
                <w:color w:val="0000FF"/>
              </w:rPr>
              <w:t>¨</w:t>
            </w:r>
            <w:r>
              <w:rPr>
                <w:rFonts w:hint="eastAsia"/>
                <w:color w:val="0000FF"/>
              </w:rPr>
              <w:t>是/</w:t>
            </w:r>
            <w:r>
              <w:rPr>
                <w:rFonts w:hint="eastAsia" w:ascii="Wingdings" w:hAnsi="Wingdings"/>
                <w:color w:val="0000FF"/>
              </w:rPr>
              <w:t>þ</w:t>
            </w:r>
            <w:r>
              <w:rPr>
                <w:rFonts w:hint="eastAsia"/>
                <w:color w:val="0000FF"/>
              </w:rPr>
              <w:t>否</w:t>
            </w:r>
            <w:r>
              <w:rPr>
                <w:rFonts w:hint="eastAsia"/>
              </w:rPr>
              <w:t>经有资格的检验机构进行了校准，并保留了形成文件的技术验证报告。</w:t>
            </w:r>
          </w:p>
          <w:p>
            <w:pPr>
              <w:jc w:val="left"/>
            </w:pPr>
            <w:r>
              <w:rPr>
                <w:rFonts w:hint="eastAsia"/>
              </w:rPr>
              <w:t>本审核证实该公司规定的监视和测量方法适合监视和测量程序。具体参见下例：</w:t>
            </w:r>
          </w:p>
          <w:p>
            <w:pPr>
              <w:widowControl/>
              <w:numPr>
                <w:ilvl w:val="0"/>
                <w:numId w:val="16"/>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jc w:val="left"/>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pPr>
              <w:tabs>
                <w:tab w:val="right" w:pos="3119"/>
              </w:tabs>
              <w:jc w:val="left"/>
            </w:pPr>
            <w:r>
              <w:rPr>
                <w:rFonts w:hint="eastAsia"/>
                <w:color w:val="0000FF"/>
                <w:szCs w:val="21"/>
              </w:rPr>
              <w:t>再验证。</w:t>
            </w:r>
          </w:p>
          <w:p>
            <w:pPr>
              <w:jc w:val="left"/>
              <w:rPr>
                <w:b/>
              </w:rPr>
            </w:pPr>
            <w:r>
              <w:rPr>
                <w:rFonts w:hint="eastAsia"/>
                <w:b/>
              </w:rPr>
              <w:t>其他方面的的验证</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jc w:val="left"/>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tabs>
                <w:tab w:val="right" w:pos="3119"/>
              </w:tabs>
              <w:jc w:val="left"/>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HACCP计划记录的保持</w:t>
            </w:r>
          </w:p>
          <w:p>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tabs>
                <w:tab w:val="right" w:pos="3119"/>
              </w:tabs>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针对所有食品加工过程及设施的致敏物质管理方案，</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pPr>
              <w:tabs>
                <w:tab w:val="right" w:pos="3119"/>
              </w:tabs>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FF"/>
              </w:rPr>
            </w:pPr>
            <w:r>
              <w:rPr>
                <w:rFonts w:hint="eastAsia"/>
                <w:color w:val="0000FF"/>
              </w:rPr>
              <w:t>抽查检测报告的编号：</w:t>
            </w:r>
            <w:r>
              <w:rPr>
                <w:rFonts w:hint="eastAsia"/>
                <w:color w:val="FF0000"/>
                <w:u w:val="single"/>
              </w:rPr>
              <w:t>未提供（见不符合报告）</w:t>
            </w:r>
          </w:p>
          <w:p>
            <w:pPr>
              <w:rPr>
                <w:color w:val="0000FF"/>
              </w:rPr>
            </w:pPr>
            <w:r>
              <w:rPr>
                <w:rFonts w:hint="eastAsia"/>
                <w:color w:val="0000FF"/>
              </w:rPr>
              <w:t>检测单位的名称：</w:t>
            </w:r>
          </w:p>
          <w:p>
            <w:pPr>
              <w:rPr>
                <w:color w:val="0000FF"/>
              </w:rPr>
            </w:pPr>
            <w:r>
              <w:rPr>
                <w:rFonts w:hint="eastAsia"/>
                <w:color w:val="0000FF"/>
              </w:rPr>
              <w:t>检测日期：</w:t>
            </w:r>
          </w:p>
          <w:p>
            <w:pPr>
              <w:rPr>
                <w:color w:val="0000FF"/>
              </w:rPr>
            </w:pPr>
            <w:r>
              <w:rPr>
                <w:rFonts w:hint="eastAsia"/>
                <w:color w:val="0000FF"/>
              </w:rPr>
              <w:t>检测的产品名称：</w:t>
            </w:r>
            <w:r>
              <w:rPr>
                <w:rFonts w:hint="eastAsia"/>
                <w:color w:val="0000FF"/>
                <w:u w:val="single"/>
              </w:rPr>
              <w:t>碗、筷子、</w:t>
            </w:r>
          </w:p>
          <w:p>
            <w:pPr>
              <w:rPr>
                <w:color w:val="0000FF"/>
              </w:rPr>
            </w:pPr>
            <w:r>
              <w:rPr>
                <w:rFonts w:hint="eastAsia"/>
                <w:color w:val="0000FF"/>
              </w:rPr>
              <w:t>检测执行的标准：</w:t>
            </w:r>
            <w:r>
              <w:rPr>
                <w:rFonts w:hint="eastAsia"/>
                <w:color w:val="0000FF"/>
                <w:u w:val="single"/>
              </w:rPr>
              <w:t xml:space="preserve">   GB14934-2016《食品安全国家标准消毒餐(饮)具》</w:t>
            </w:r>
          </w:p>
          <w:p>
            <w:pPr>
              <w:rPr>
                <w:color w:val="000000"/>
              </w:rPr>
            </w:pPr>
            <w:r>
              <w:rPr>
                <w:rFonts w:hint="eastAsia"/>
              </w:rPr>
              <w:t>检验机构</w:t>
            </w:r>
            <w:r>
              <w:rPr>
                <w:rFonts w:hint="eastAsia"/>
                <w:color w:val="000000"/>
              </w:rPr>
              <w:t>通过实验室认可</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00"/>
              </w:rPr>
            </w:pPr>
            <w:r>
              <w:rPr>
                <w:rFonts w:hint="eastAsia"/>
                <w:color w:val="000000"/>
              </w:rPr>
              <w:t>检验结果在产品标准规定的有效期内</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p>
        </w:tc>
      </w:tr>
    </w:tbl>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06</w:t>
            </w:r>
          </w:p>
        </w:tc>
      </w:tr>
    </w:tbl>
    <w:p>
      <w:pPr>
        <w:autoSpaceDE w:val="0"/>
        <w:autoSpaceDN w:val="0"/>
        <w:adjustRightInd w:val="0"/>
        <w:snapToGrid w:val="0"/>
        <w:spacing w:before="120"/>
        <w:ind w:left="101"/>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7"/>
        </w:numPr>
        <w:spacing w:before="40" w:after="40"/>
      </w:pPr>
      <w:r>
        <w:rPr>
          <w:rFonts w:hint="eastAsia"/>
        </w:rPr>
        <w:t>首、末次会议的签到记录表</w:t>
      </w:r>
    </w:p>
    <w:p>
      <w:pPr>
        <w:widowControl/>
        <w:numPr>
          <w:ilvl w:val="0"/>
          <w:numId w:val="17"/>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569" w:type="dxa"/>
            <w:shd w:val="clear" w:color="auto" w:fill="auto"/>
          </w:tcPr>
          <w:p>
            <w:pPr>
              <w:pStyle w:val="27"/>
              <w:rPr>
                <w:lang w:eastAsia="zh-CN"/>
              </w:rPr>
            </w:pPr>
            <w:r>
              <w:rPr>
                <w:rFonts w:hint="eastAsia"/>
                <w:lang w:eastAsia="zh-CN"/>
              </w:rPr>
              <w:t>过程步骤</w:t>
            </w:r>
          </w:p>
        </w:tc>
        <w:tc>
          <w:tcPr>
            <w:tcW w:w="2301" w:type="dxa"/>
            <w:shd w:val="clear" w:color="auto" w:fill="auto"/>
          </w:tcPr>
          <w:p>
            <w:pPr>
              <w:pStyle w:val="27"/>
              <w:rPr>
                <w:lang w:eastAsia="zh-CN"/>
              </w:rPr>
            </w:pPr>
            <w:r>
              <w:rPr>
                <w:rFonts w:hint="eastAsia"/>
                <w:lang w:eastAsia="zh-CN"/>
              </w:rPr>
              <w:t>危害</w:t>
            </w:r>
          </w:p>
        </w:tc>
        <w:tc>
          <w:tcPr>
            <w:tcW w:w="2160"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肉类原料验收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有害微生物、病毒</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中心温度</w:t>
            </w:r>
            <w:r>
              <w:rPr>
                <w:rFonts w:hint="eastAsia" w:eastAsia="楷体_GB2312"/>
                <w:color w:val="0000FF"/>
                <w:spacing w:val="-3"/>
              </w:rPr>
              <w:t>≤70℃，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955F1"/>
    <w:multiLevelType w:val="singleLevel"/>
    <w:tmpl w:val="904955F1"/>
    <w:lvl w:ilvl="0" w:tentative="0">
      <w:start w:val="1"/>
      <w:numFmt w:val="decimal"/>
      <w:suff w:val="nothing"/>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2">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1"/>
  </w:num>
  <w:num w:numId="4">
    <w:abstractNumId w:val="12"/>
  </w:num>
  <w:num w:numId="5">
    <w:abstractNumId w:val="0"/>
  </w:num>
  <w:num w:numId="6">
    <w:abstractNumId w:val="4"/>
  </w:num>
  <w:num w:numId="7">
    <w:abstractNumId w:val="11"/>
  </w:num>
  <w:num w:numId="8">
    <w:abstractNumId w:val="13"/>
  </w:num>
  <w:num w:numId="9">
    <w:abstractNumId w:val="10"/>
  </w:num>
  <w:num w:numId="10">
    <w:abstractNumId w:val="8"/>
  </w:num>
  <w:num w:numId="11">
    <w:abstractNumId w:val="16"/>
  </w:num>
  <w:num w:numId="12">
    <w:abstractNumId w:val="6"/>
  </w:num>
  <w:num w:numId="13">
    <w:abstractNumId w:val="14"/>
  </w:num>
  <w:num w:numId="14">
    <w:abstractNumId w:val="7"/>
  </w:num>
  <w:num w:numId="15">
    <w:abstractNumId w:val="5"/>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148B1AB4"/>
    <w:rsid w:val="272704A8"/>
    <w:rsid w:val="2C1A292E"/>
    <w:rsid w:val="7B453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60" w:lineRule="auto"/>
      <w:outlineLvl w:val="3"/>
    </w:pPr>
    <w:rPr>
      <w:rFonts w:ascii="Arial" w:hAnsi="Arial" w:eastAsia="宋体"/>
      <w:b/>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2022-11-25T10:48:03Z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