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廊坊市派博力克科贸有限公司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1254-2021-2022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1254-2021-2022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64"/>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廊坊市派博力克科贸有限公司</w:t>
            </w:r>
            <w:bookmarkEnd w:id="4"/>
          </w:p>
        </w:tc>
        <w:tc>
          <w:tcPr>
            <w:tcW w:w="176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8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eastAsiaTheme="minorEastAsia"/>
                <w:kern w:val="0"/>
                <w:szCs w:val="21"/>
                <w:lang w:val="en-US" w:eastAsia="zh-CN"/>
              </w:rPr>
            </w:pPr>
            <w:bookmarkStart w:id="6" w:name="证书编号"/>
            <w:bookmarkEnd w:id="6"/>
            <w:r>
              <w:rPr>
                <w:rFonts w:cs="宋体" w:asciiTheme="minorEastAsia" w:hAnsiTheme="minorEastAsia"/>
                <w:kern w:val="0"/>
                <w:szCs w:val="21"/>
              </w:rPr>
              <w:t>ISC-202</w:t>
            </w:r>
            <w:r>
              <w:rPr>
                <w:rFonts w:hint="eastAsia" w:cs="宋体" w:asciiTheme="minorEastAsia" w:hAnsiTheme="minorEastAsia"/>
                <w:kern w:val="0"/>
                <w:szCs w:val="21"/>
                <w:lang w:val="en-US" w:eastAsia="zh-CN"/>
              </w:rPr>
              <w:t>1</w:t>
            </w:r>
            <w:r>
              <w:rPr>
                <w:rFonts w:cs="宋体" w:asciiTheme="minorEastAsia" w:hAnsiTheme="minorEastAsia"/>
                <w:kern w:val="0"/>
                <w:szCs w:val="21"/>
              </w:rPr>
              <w:t>-</w:t>
            </w:r>
            <w:r>
              <w:rPr>
                <w:rFonts w:hint="eastAsia" w:cs="宋体" w:asciiTheme="minorEastAsia" w:hAnsiTheme="minorEastAsia"/>
                <w:kern w:val="0"/>
                <w:szCs w:val="21"/>
                <w:lang w:val="en-US" w:eastAsia="zh-CN"/>
              </w:rPr>
              <w:t>1174</w:t>
            </w:r>
          </w:p>
        </w:tc>
        <w:tc>
          <w:tcPr>
            <w:tcW w:w="176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48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7" w:name="证书有效期"/>
            <w:bookmarkEnd w:id="7"/>
            <w:r>
              <w:rPr>
                <w:rFonts w:cs="宋体" w:asciiTheme="minorEastAsia" w:hAnsiTheme="minorEastAsia"/>
                <w:kern w:val="0"/>
                <w:szCs w:val="21"/>
              </w:rPr>
              <w:t>202</w:t>
            </w:r>
            <w:r>
              <w:rPr>
                <w:rFonts w:hint="eastAsia" w:cs="宋体" w:asciiTheme="minorEastAsia" w:hAnsiTheme="minorEastAsia"/>
                <w:kern w:val="0"/>
                <w:szCs w:val="21"/>
                <w:lang w:val="en-US" w:eastAsia="zh-CN"/>
              </w:rPr>
              <w:t>6</w:t>
            </w:r>
            <w:r>
              <w:rPr>
                <w:rFonts w:cs="宋体" w:asciiTheme="minorEastAsia" w:hAnsiTheme="minorEastAsia"/>
                <w:kern w:val="0"/>
                <w:szCs w:val="21"/>
              </w:rPr>
              <w:t>-12-</w:t>
            </w:r>
            <w:r>
              <w:rPr>
                <w:rFonts w:hint="eastAsia" w:cs="宋体" w:asciiTheme="minorEastAsia" w:hAnsiTheme="minorEastAsia"/>
                <w:kern w:val="0"/>
                <w:szCs w:val="21"/>
                <w:lang w:val="en-US" w:eastAsia="zh-CN"/>
              </w:rPr>
              <w:t>01</w:t>
            </w:r>
            <w:r>
              <w:rPr>
                <w:rFonts w:cs="宋体" w:asciiTheme="minorEastAsia" w:hAnsiTheme="minorEastAsia"/>
                <w:kern w:val="0"/>
                <w:szCs w:val="21"/>
              </w:rPr>
              <w:t xml:space="preserve">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76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8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2023年01月0</w:t>
            </w:r>
            <w:r>
              <w:rPr>
                <w:rFonts w:hint="eastAsia" w:cs="宋体" w:asciiTheme="minorEastAsia" w:hAnsiTheme="minorEastAsia"/>
                <w:kern w:val="0"/>
                <w:szCs w:val="21"/>
                <w:lang w:val="en-US" w:eastAsia="zh-CN"/>
              </w:rPr>
              <w:t>7</w:t>
            </w:r>
            <w:r>
              <w:rPr>
                <w:rFonts w:cs="宋体" w:asciiTheme="minorEastAsia" w:hAnsiTheme="minorEastAsia"/>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p>
        </w:tc>
        <w:tc>
          <w:tcPr>
            <w:tcW w:w="176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488" w:type="dxa"/>
            <w:vAlign w:val="center"/>
          </w:tcPr>
          <w:p>
            <w:pPr>
              <w:jc w:val="both"/>
              <w:rPr>
                <w:rFonts w:hint="eastAsia"/>
                <w:bCs/>
                <w:sz w:val="21"/>
                <w:szCs w:val="21"/>
                <w:lang w:eastAsia="zh-CN"/>
              </w:rPr>
            </w:pPr>
            <w:r>
              <w:rPr>
                <w:rFonts w:hint="eastAsia" w:ascii="宋体" w:hAnsi="宋体" w:eastAsia="宋体" w:cs="宋体"/>
                <w:sz w:val="21"/>
                <w:szCs w:val="21"/>
                <w:lang w:eastAsia="zh-CN"/>
              </w:rPr>
              <w:t>技术质量部、销售部、行政部</w:t>
            </w:r>
            <w:r>
              <w:rPr>
                <w:rFonts w:hint="eastAsia"/>
                <w:bCs/>
                <w:sz w:val="21"/>
                <w:szCs w:val="21"/>
                <w:lang w:eastAsia="zh-CN"/>
              </w:rPr>
              <w:t>、采购部、生产部</w:t>
            </w:r>
          </w:p>
          <w:p>
            <w:pPr>
              <w:jc w:val="left"/>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ascii="宋体" w:cs="宋体"/>
          <w:bCs/>
          <w:kern w:val="0"/>
          <w:szCs w:val="21"/>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 xml:space="preserve"> 廊坊市派博力克科贸有限公司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bookmarkStart w:id="10" w:name="_GoBack"/>
      <w:bookmarkEnd w:id="10"/>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02-03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管代周金任审核组长组织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04</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460" w:lineRule="exact"/>
        <w:rPr>
          <w:rStyle w:val="9"/>
          <w:rFonts w:hint="eastAsia" w:ascii="宋体" w:hAnsi="宋体" w:eastAsia="宋体" w:cs="宋体"/>
          <w:color w:val="auto"/>
          <w:sz w:val="21"/>
          <w:szCs w:val="21"/>
          <w:lang w:val="en-US" w:eastAsia="zh-CN"/>
        </w:rPr>
      </w:pP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兼管代周金</w:t>
      </w:r>
      <w:r>
        <w:rPr>
          <w:rFonts w:hint="eastAsia" w:ascii="宋体" w:hAnsi="宋体" w:eastAsia="宋体" w:cs="宋体"/>
          <w:sz w:val="21"/>
          <w:szCs w:val="21"/>
        </w:rPr>
        <w:t>主持</w:t>
      </w:r>
      <w:r>
        <w:rPr>
          <w:rFonts w:hint="eastAsia" w:ascii="宋体" w:hAnsi="宋体" w:eastAsia="宋体" w:cs="宋体"/>
          <w:sz w:val="21"/>
          <w:szCs w:val="21"/>
          <w:lang w:eastAsia="zh-CN"/>
        </w:rPr>
        <w:t>并汇报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砂含量动态检测仪的绝缘电阻检测测量过程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砂含量动态检测仪的绝缘电阻检测测量过程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砂含量动态检测仪的绝缘电阻检测测量过程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砂含量动态检测仪的绝缘电阻检测测量过程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砂含量动态检测仪的绝缘电阻检测测量过程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附查C、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Times New Roman" w:hAnsi="Times New Roman" w:eastAsia="宋体" w:cs="Times New Roman"/>
          <w:szCs w:val="21"/>
        </w:rPr>
        <w:t>河北</w:t>
      </w:r>
      <w:r>
        <w:rPr>
          <w:rFonts w:ascii="Times New Roman" w:hAnsi="Times New Roman" w:eastAsia="宋体" w:cs="Times New Roman"/>
          <w:szCs w:val="21"/>
        </w:rPr>
        <w:t>省计量</w:t>
      </w:r>
      <w:r>
        <w:rPr>
          <w:rFonts w:hint="eastAsia" w:ascii="Times New Roman" w:hAnsi="Times New Roman" w:eastAsia="宋体" w:cs="Times New Roman"/>
          <w:szCs w:val="21"/>
        </w:rPr>
        <w:t>监督检测院廊坊分院</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；,国家法定计量检定机构授权证书号：（冀）法计（2013）F006号</w:t>
      </w:r>
      <w:r>
        <w:rPr>
          <w:rFonts w:hint="eastAsia" w:ascii="宋体" w:hAnsi="宋体" w:eastAsia="宋体" w:cs="宋体"/>
          <w:kern w:val="0"/>
          <w:sz w:val="21"/>
          <w:szCs w:val="21"/>
          <w:highlight w:val="none"/>
          <w:lang w:eastAsia="zh-CN"/>
        </w:rPr>
        <w:t>“</w:t>
      </w:r>
      <w:r>
        <w:rPr>
          <w:rFonts w:hint="eastAsia" w:ascii="Times New Roman" w:hAnsi="Times New Roman" w:eastAsia="宋体" w:cs="Times New Roman"/>
          <w:szCs w:val="21"/>
        </w:rPr>
        <w:t>中国计量科学研究院</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L0502等</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 w:val="0"/>
          <w:bCs/>
          <w:kern w:val="0"/>
          <w:szCs w:val="21"/>
          <w:highlight w:val="none"/>
          <w:lang w:eastAsia="zh-CN"/>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 xml:space="preserve">0.14 </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b w:val="0"/>
          <w:bCs/>
          <w:szCs w:val="21"/>
          <w:highlight w:val="none"/>
          <w:lang w:val="en-US" w:eastAsia="zh-CN"/>
        </w:rPr>
        <w:t>2.5级水表1块。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个不符合项，及时制定整改计划，采取了如下纠正措施：已对开出的不符合项：</w:t>
      </w:r>
      <w:r>
        <w:rPr>
          <w:rFonts w:ascii="Times New Roman" w:hAnsi="Times New Roman"/>
          <w:bCs/>
          <w:szCs w:val="21"/>
        </w:rPr>
        <w:t>1：</w:t>
      </w:r>
      <w:r>
        <w:rPr>
          <w:rFonts w:ascii="Times New Roman" w:hAnsi="Times New Roman"/>
          <w:szCs w:val="21"/>
        </w:rPr>
        <w:t>查《质量文件使用发放管理档案》中技术标准</w:t>
      </w:r>
      <w:r>
        <w:rPr>
          <w:rFonts w:ascii="Times New Roman" w:hAnsi="Times New Roman"/>
          <w:bCs/>
          <w:szCs w:val="21"/>
        </w:rPr>
        <w:t>JJG 499-2004 《精密露点仪检定规程》</w:t>
      </w:r>
      <w:r>
        <w:rPr>
          <w:rFonts w:ascii="Times New Roman" w:hAnsi="Times New Roman"/>
          <w:szCs w:val="21"/>
        </w:rPr>
        <w:t>已于2021年6月20日下发，查装配车间现场提供的该文件未盖受控章。</w:t>
      </w:r>
      <w:r>
        <w:rPr>
          <w:rFonts w:ascii="Times New Roman" w:hAnsi="Times New Roman"/>
          <w:bCs/>
          <w:szCs w:val="21"/>
          <w:shd w:val="clear" w:color="auto" w:fill="FFFFFF"/>
        </w:rPr>
        <w:t>不符合认证审核准则条款 “</w:t>
      </w:r>
      <w:r>
        <w:rPr>
          <w:rFonts w:ascii="Times New Roman" w:hAnsi="Times New Roman"/>
          <w:kern w:val="0"/>
          <w:szCs w:val="21"/>
        </w:rPr>
        <w:t>6.2.1程序”</w:t>
      </w:r>
      <w:r>
        <w:rPr>
          <w:rFonts w:ascii="Times New Roman" w:hAnsi="Times New Roman"/>
          <w:bCs/>
          <w:szCs w:val="21"/>
          <w:shd w:val="clear" w:color="auto" w:fill="FFFFFF"/>
        </w:rPr>
        <w:t>的要求</w:t>
      </w:r>
      <w:r>
        <w:rPr>
          <w:rFonts w:hint="eastAsia" w:ascii="宋体" w:hAnsi="宋体" w:cs="宋体"/>
          <w:kern w:val="0"/>
          <w:szCs w:val="21"/>
          <w:highlight w:val="none"/>
          <w:lang w:val="en-US" w:eastAsia="zh-CN"/>
        </w:rPr>
        <w:t>。2：</w:t>
      </w:r>
      <w:r>
        <w:rPr>
          <w:rFonts w:ascii="Times New Roman" w:hAnsi="Times New Roman"/>
          <w:kern w:val="0"/>
          <w:szCs w:val="21"/>
        </w:rPr>
        <w:t>查技术质量部的出厂编号为4507 的“砝码”的检定证书，检定有效期至2021年11月03日，经确认到期未送检。</w:t>
      </w:r>
      <w:r>
        <w:rPr>
          <w:rFonts w:ascii="Times New Roman" w:hAnsi="Times New Roman"/>
          <w:bCs/>
          <w:szCs w:val="21"/>
          <w:shd w:val="clear" w:color="auto" w:fill="FFFFFF"/>
        </w:rPr>
        <w:t>不符合认证审核准则条款 “</w:t>
      </w:r>
      <w:r>
        <w:rPr>
          <w:rFonts w:ascii="Times New Roman" w:hAnsi="Times New Roman"/>
          <w:szCs w:val="21"/>
        </w:rPr>
        <w:t>7.3.2溯源性</w:t>
      </w:r>
      <w:r>
        <w:rPr>
          <w:rFonts w:ascii="Times New Roman" w:hAnsi="Times New Roman"/>
          <w:bCs/>
          <w:szCs w:val="21"/>
          <w:shd w:val="clear" w:color="auto" w:fill="FFFFFF"/>
        </w:rPr>
        <w:t>”的要求</w:t>
      </w:r>
      <w:r>
        <w:rPr>
          <w:rFonts w:hint="eastAsia" w:ascii="Times New Roman" w:hAnsi="Times New Roman"/>
          <w:bCs/>
          <w:szCs w:val="21"/>
          <w:shd w:val="clear" w:color="auto" w:fill="FFFFFF"/>
          <w:lang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2</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w:t>
      </w:r>
      <w:r>
        <w:rPr>
          <w:rFonts w:hint="eastAsia"/>
          <w:b/>
          <w:bCs/>
          <w:color w:val="000000"/>
          <w:szCs w:val="21"/>
          <w:lang w:eastAsia="zh-CN"/>
        </w:rPr>
        <w:t>、销售、技术服务</w:t>
      </w:r>
      <w:r>
        <w:rPr>
          <w:b/>
          <w:bCs/>
          <w:color w:val="000000"/>
          <w:szCs w:val="21"/>
        </w:rPr>
        <w:t>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8" w:name="审核范围"/>
      <w:r>
        <w:rPr>
          <w:rFonts w:hint="eastAsia"/>
          <w:szCs w:val="21"/>
          <w:lang w:eastAsia="zh-CN"/>
        </w:rPr>
        <w:t>认证范围：</w:t>
      </w:r>
      <w:r>
        <w:rPr>
          <w:rFonts w:hint="eastAsia" w:ascii="宋体" w:hAnsi="宋体"/>
          <w:szCs w:val="21"/>
        </w:rPr>
        <w:t>油气田测井测试技术服务，井下作业（节流器投捞、柱塞排水采气、泡沫排水采气），集输工艺优化及投产方案编制地面工艺的技术服务；石油石化行业用仪器仪表工量具（存储式电子压力计、地面数据监测仪、砂含量动态检测仪、露点仪、水分测定仪、气体检测仪、石油专用工具）及附属配件的生产组装；石油、天然气通用工量具、仪器仪表设备及配件的销售</w:t>
      </w:r>
      <w:bookmarkEnd w:id="8"/>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生产及销售服务</w:t>
      </w:r>
      <w:r>
        <w:rPr>
          <w:szCs w:val="21"/>
        </w:rPr>
        <w:t>的要求</w:t>
      </w:r>
      <w:r>
        <w:rPr>
          <w:color w:val="auto"/>
          <w:szCs w:val="21"/>
          <w:highlight w:val="none"/>
        </w:rPr>
        <w:t>。</w:t>
      </w:r>
      <w:r>
        <w:rPr>
          <w:rFonts w:hint="eastAsia"/>
          <w:color w:val="auto"/>
          <w:szCs w:val="21"/>
          <w:highlight w:val="none"/>
          <w:lang w:eastAsia="zh-CN"/>
        </w:rPr>
        <w:t>抽查</w:t>
      </w:r>
      <w:r>
        <w:rPr>
          <w:rFonts w:hint="eastAsia"/>
          <w:color w:val="auto"/>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val="en-US" w:eastAsia="zh-CN"/>
        </w:rPr>
        <w:t>份销售服务合同：1</w:t>
      </w:r>
      <w:r>
        <w:rPr>
          <w:rFonts w:hint="eastAsia" w:ascii="Times New Roman" w:hAnsi="Times New Roman" w:eastAsia="宋体" w:cs="Times New Roman"/>
          <w:b w:val="0"/>
          <w:bCs w:val="0"/>
          <w:color w:val="auto"/>
          <w:sz w:val="21"/>
          <w:szCs w:val="21"/>
          <w:highlight w:val="none"/>
          <w:u w:val="none"/>
          <w:lang w:eastAsia="zh-CN"/>
        </w:rPr>
        <w:t>中国石油天然气股份有限公司长庆油田分公司第一采气厂，合同编号：</w:t>
      </w:r>
      <w:r>
        <w:rPr>
          <w:rFonts w:hint="eastAsia" w:ascii="Times New Roman" w:hAnsi="Times New Roman" w:eastAsia="宋体" w:cs="Times New Roman"/>
          <w:b w:val="0"/>
          <w:bCs w:val="0"/>
          <w:color w:val="auto"/>
          <w:sz w:val="21"/>
          <w:szCs w:val="21"/>
          <w:highlight w:val="none"/>
          <w:u w:val="none"/>
          <w:lang w:val="en-US" w:eastAsia="zh-CN"/>
        </w:rPr>
        <w:t>2022-8312签订时间：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4</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20</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签订地点：陕西省西安市。确认安装及售后服务产品：158的CS-6000地面数据监测仪更换传感器等销售</w:t>
      </w:r>
      <w:r>
        <w:rPr>
          <w:rFonts w:hint="eastAsia" w:ascii="宋体" w:hAnsi="宋体"/>
          <w:szCs w:val="21"/>
        </w:rPr>
        <w:t>服务</w:t>
      </w:r>
      <w:r>
        <w:rPr>
          <w:rFonts w:hint="eastAsia"/>
          <w:color w:val="000000"/>
          <w:szCs w:val="21"/>
          <w:highlight w:val="none"/>
          <w:lang w:eastAsia="zh-CN"/>
        </w:rPr>
        <w:t>。</w:t>
      </w:r>
      <w:r>
        <w:rPr>
          <w:rFonts w:hint="eastAsia"/>
          <w:color w:val="000000"/>
          <w:szCs w:val="21"/>
          <w:highlight w:val="none"/>
          <w:lang w:val="en-US" w:eastAsia="zh-CN"/>
        </w:rPr>
        <w:t>2</w:t>
      </w:r>
      <w:r>
        <w:rPr>
          <w:rFonts w:hint="eastAsia" w:ascii="Times New Roman" w:hAnsi="Times New Roman" w:eastAsia="宋体" w:cs="Times New Roman"/>
          <w:b w:val="0"/>
          <w:bCs w:val="0"/>
          <w:color w:val="auto"/>
          <w:sz w:val="21"/>
          <w:szCs w:val="21"/>
          <w:highlight w:val="none"/>
          <w:u w:val="none"/>
          <w:lang w:eastAsia="zh-CN"/>
        </w:rPr>
        <w:t>企业与中国石油天然气股份有限公司长庆油田分公司第五采气厂，合同编号：</w:t>
      </w:r>
      <w:r>
        <w:rPr>
          <w:rFonts w:hint="eastAsia" w:ascii="Times New Roman" w:hAnsi="Times New Roman" w:eastAsia="宋体" w:cs="Times New Roman"/>
          <w:b w:val="0"/>
          <w:bCs w:val="0"/>
          <w:color w:val="auto"/>
          <w:sz w:val="21"/>
          <w:szCs w:val="21"/>
          <w:highlight w:val="none"/>
          <w:u w:val="none"/>
          <w:lang w:val="en-US" w:eastAsia="zh-CN"/>
        </w:rPr>
        <w:t>2022-260签订时间：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09</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16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签订地点：内蒙古乌审旗。确认销售产品：其他炼化设备 贫富液单元 TL-12*106</w:t>
      </w:r>
      <w:r>
        <w:rPr>
          <w:rFonts w:hint="eastAsia"/>
          <w:color w:val="000000"/>
          <w:szCs w:val="21"/>
          <w:lang w:eastAsia="zh-CN"/>
        </w:rPr>
        <w:t>。企业</w:t>
      </w:r>
      <w:r>
        <w:rPr>
          <w:rFonts w:hint="eastAsia" w:ascii="宋体" w:hAnsi="宋体" w:eastAsia="宋体" w:cs="宋体"/>
          <w:b w:val="0"/>
          <w:bCs w:val="0"/>
          <w:color w:val="auto"/>
          <w:sz w:val="21"/>
          <w:szCs w:val="21"/>
          <w:lang w:eastAsia="zh-CN"/>
        </w:rPr>
        <w:t>生产</w:t>
      </w:r>
      <w:r>
        <w:rPr>
          <w:rFonts w:hint="eastAsia" w:ascii="Times New Roman" w:hAnsi="Times New Roman" w:eastAsia="宋体" w:cs="Times New Roman"/>
          <w:b w:val="0"/>
          <w:bCs w:val="0"/>
          <w:color w:val="auto"/>
          <w:sz w:val="21"/>
          <w:szCs w:val="21"/>
          <w:highlight w:val="none"/>
          <w:u w:val="none"/>
          <w:lang w:val="en-US" w:eastAsia="zh-CN"/>
        </w:rPr>
        <w:t>及销售、服务产品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2021年11-12月和2022年1-12月，5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长庆油田、西南油田等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szCs w:val="21"/>
        </w:rPr>
        <w:t>检查合格供方名录</w:t>
      </w:r>
      <w:r>
        <w:rPr>
          <w:rFonts w:hint="eastAsia" w:ascii="宋体" w:hAnsi="宋体" w:eastAsia="宋体" w:cs="宋体"/>
          <w:sz w:val="21"/>
          <w:szCs w:val="21"/>
        </w:rPr>
        <w:t>，发现</w:t>
      </w:r>
      <w:r>
        <w:rPr>
          <w:rFonts w:hint="eastAsia" w:ascii="宋体" w:hAnsi="宋体" w:eastAsia="宋体" w:cs="宋体"/>
          <w:sz w:val="21"/>
          <w:szCs w:val="21"/>
          <w:lang w:eastAsia="zh-CN"/>
        </w:rPr>
        <w:t>“</w:t>
      </w:r>
      <w:r>
        <w:rPr>
          <w:rFonts w:hint="eastAsia" w:ascii="Times New Roman" w:hAnsi="Times New Roman" w:eastAsia="宋体" w:cs="Times New Roman"/>
          <w:szCs w:val="21"/>
          <w:lang w:eastAsia="zh-CN"/>
        </w:rPr>
        <w:t>南京市计量监督检测院</w:t>
      </w:r>
      <w:r>
        <w:rPr>
          <w:rFonts w:hint="eastAsia" w:ascii="宋体" w:hAnsi="宋体" w:eastAsia="宋体" w:cs="宋体"/>
          <w:sz w:val="21"/>
          <w:szCs w:val="21"/>
          <w:lang w:eastAsia="zh-CN"/>
        </w:rPr>
        <w:t>”</w:t>
      </w:r>
      <w:r>
        <w:rPr>
          <w:rFonts w:hint="eastAsia" w:ascii="宋体" w:hAnsi="宋体" w:eastAsia="宋体" w:cs="宋体"/>
          <w:sz w:val="21"/>
          <w:szCs w:val="21"/>
        </w:rPr>
        <w:t>列入合格供方名录，</w:t>
      </w:r>
      <w:r>
        <w:rPr>
          <w:rFonts w:hint="eastAsia" w:ascii="宋体" w:hAnsi="宋体" w:eastAsia="宋体" w:cs="宋体"/>
          <w:sz w:val="21"/>
          <w:szCs w:val="21"/>
          <w:lang w:eastAsia="zh-CN"/>
        </w:rPr>
        <w:t>但</w:t>
      </w:r>
      <w:r>
        <w:rPr>
          <w:rFonts w:hint="eastAsia" w:ascii="宋体" w:hAnsi="宋体" w:eastAsia="宋体" w:cs="宋体"/>
          <w:color w:val="auto"/>
          <w:sz w:val="21"/>
          <w:szCs w:val="21"/>
          <w:lang w:eastAsia="zh-CN"/>
        </w:rPr>
        <w:t>未提供有效性的</w:t>
      </w: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记录</w:t>
      </w:r>
      <w:r>
        <w:rPr>
          <w:rFonts w:hint="eastAsia" w:ascii="宋体" w:hAnsi="宋体" w:eastAsia="宋体" w:cs="宋体"/>
          <w:sz w:val="21"/>
          <w:szCs w:val="21"/>
        </w:rPr>
        <w:t>。不符合GB/T19022-2003  6.4条款的规定要求</w:t>
      </w:r>
      <w:r>
        <w:rPr>
          <w:rFonts w:hint="eastAsia" w:ascii="宋体" w:hAnsi="宋体"/>
          <w:bCs/>
          <w:szCs w:val="21"/>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07日</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廊坊市派博力克科贸有限公司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廊坊市派博力克科贸有限公司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提高企业内部技术管理水平</w:t>
      </w:r>
      <w:r>
        <w:rPr>
          <w:rFonts w:hint="eastAsia" w:ascii="宋体" w:hAnsi="宋体" w:eastAsia="宋体" w:cs="宋体"/>
          <w:bCs/>
          <w:color w:val="auto"/>
          <w:kern w:val="0"/>
          <w:szCs w:val="21"/>
        </w:rPr>
        <w:t>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加强内审员培训，提高企业内部技术管理水平</w:t>
      </w:r>
      <w:r>
        <w:rPr>
          <w:rFonts w:hint="eastAsia" w:ascii="Times New Roman" w:hAnsi="Times New Roman" w:cs="Times New Roman"/>
          <w:bCs/>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2023.01.07</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B6412B3"/>
    <w:rsid w:val="18A27398"/>
    <w:rsid w:val="1BA053E1"/>
    <w:rsid w:val="2C465C9F"/>
    <w:rsid w:val="314B690C"/>
    <w:rsid w:val="44A4172A"/>
    <w:rsid w:val="46222F6B"/>
    <w:rsid w:val="57B1785C"/>
    <w:rsid w:val="584D1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3415</Words>
  <Characters>3785</Characters>
  <Lines>15</Lines>
  <Paragraphs>4</Paragraphs>
  <TotalTime>3</TotalTime>
  <ScaleCrop>false</ScaleCrop>
  <LinksUpToDate>false</LinksUpToDate>
  <CharactersWithSpaces>3865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2023-01-07T07:54:37Z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7BE710A59F494BD4928F8212C2C6A47E</vt:lpwstr>
  </property>
</Properties>
</file>