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87"/>
        <w:gridCol w:w="1246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四川盛鸿达工程设备租赁有限公司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Q：32.16.02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E：32.16.02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O：32.16.02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Q：32.16.02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E：32.16.02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O：32.16.02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t>签订合同--租赁设备出库--租赁方接收--回收租赁设备--费用结算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bookmarkStart w:id="2" w:name="_GoBack" w:colFirst="0" w:colLast="7"/>
            <w:r>
              <w:rPr>
                <w:rFonts w:hint="eastAsia"/>
                <w:b/>
                <w:color w:val="auto"/>
                <w:sz w:val="20"/>
              </w:rPr>
              <w:t>关键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租赁设备风险：设备质量不合格、交付不准时，货款回收等风险；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租赁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特殊过程：租赁过程，依据特殊过程控制。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相关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color w:val="auto"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t>中华人民共和国劳动合同法、中华人民共和国消费者权益保护法、欺诈消费者行为处罚办法、中华人民共和国共和国合同法、</w:t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t>品牌价值 服务评价要求</w:t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幼圆" w:hAnsi="Times New Roman" w:eastAsia="幼圆" w:cs="Times New Roman"/>
                <w:color w:val="auto"/>
                <w:sz w:val="24"/>
                <w:lang w:val="en-US" w:eastAsia="zh-CN"/>
              </w:rPr>
              <w:t>GB/T 31042</w:t>
            </w:r>
            <w:r>
              <w:rPr>
                <w:rFonts w:hint="default" w:ascii="幼圆" w:hAnsi="Times New Roman" w:eastAsia="幼圆" w:cs="Times New Roman"/>
                <w:color w:val="auto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t>-2014、</w:t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t>销售数据报告报文</w:t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幼圆" w:hAnsi="Times New Roman" w:eastAsia="幼圆" w:cs="Times New Roman"/>
                <w:color w:val="auto"/>
                <w:sz w:val="24"/>
                <w:lang w:val="en-US" w:eastAsia="zh-CN"/>
              </w:rPr>
              <w:t>GB/T 17705</w:t>
            </w:r>
            <w:r>
              <w:rPr>
                <w:rFonts w:hint="default" w:ascii="幼圆" w:hAnsi="Times New Roman" w:eastAsia="幼圆" w:cs="Times New Roman"/>
                <w:color w:val="auto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t>-1999、租赁承包用脚手架采购指南SB/T 11186-2017；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14"/>
                <w:szCs w:val="14"/>
              </w:rPr>
            </w:pPr>
            <w:r>
              <w:rPr>
                <w:rFonts w:hint="eastAsia"/>
                <w:b/>
                <w:color w:val="auto"/>
                <w:sz w:val="20"/>
              </w:rPr>
              <w:t>检验和试验项目及要求</w:t>
            </w:r>
            <w:r>
              <w:rPr>
                <w:b/>
                <w:color w:val="auto"/>
                <w:sz w:val="20"/>
              </w:rPr>
              <w:t>(</w:t>
            </w:r>
            <w:r>
              <w:rPr>
                <w:rFonts w:hint="eastAsia"/>
                <w:b/>
                <w:color w:val="auto"/>
                <w:sz w:val="20"/>
              </w:rPr>
              <w:t>如有型式试验要求</w:t>
            </w:r>
            <w:r>
              <w:rPr>
                <w:b/>
                <w:color w:val="auto"/>
                <w:sz w:val="20"/>
              </w:rPr>
              <w:t>,</w:t>
            </w:r>
            <w:r>
              <w:rPr>
                <w:rFonts w:hint="eastAsia"/>
                <w:b/>
                <w:color w:val="auto"/>
                <w:sz w:val="20"/>
              </w:rPr>
              <w:t>要进行说明</w:t>
            </w:r>
            <w:r>
              <w:rPr>
                <w:b/>
                <w:color w:val="auto"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 w:ascii="幼圆" w:hAnsi="Times New Roman" w:eastAsia="幼圆" w:cs="Times New Roman"/>
                <w:color w:val="auto"/>
                <w:sz w:val="24"/>
                <w:lang w:val="en-US" w:eastAsia="zh-CN"/>
              </w:rPr>
              <w:t>设备检验主要通过开机试用、外观检查等方式进行</w:t>
            </w:r>
          </w:p>
        </w:tc>
      </w:tr>
      <w:bookmarkEnd w:id="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152400</wp:posOffset>
                  </wp:positionV>
                  <wp:extent cx="906780" cy="307975"/>
                  <wp:effectExtent l="0" t="0" r="7620" b="9525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2022年11月12日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186690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2022年11月12日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87"/>
        <w:gridCol w:w="1246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四川盛鸿达工程设备租赁有限公司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Q：32.16.02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E：32.16.02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O：32.16.02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Q：32.16.02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E：32.16.02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O：32.16.02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t>签订合同--租赁设备出库--租赁方接收--回收租赁设备--费用结算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</w:pP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t>重要环境因素：1潜在的火灾；2固废的排放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t>控制措施：采取分类收集、管理方案和预案措施管理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t>中华人民共和国劳动合同法、中华人民共和国消费者权益保护法、欺诈消费者行为处罚办法、中华人民共和国共和国合同法、</w:t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t>品牌价值 服务评价要求</w:t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幼圆" w:hAnsi="Times New Roman" w:eastAsia="幼圆" w:cs="Times New Roman"/>
                <w:sz w:val="24"/>
                <w:lang w:val="en-US" w:eastAsia="zh-CN"/>
              </w:rPr>
              <w:t>GB/T 31042</w:t>
            </w:r>
            <w:r>
              <w:rPr>
                <w:rFonts w:hint="default" w:ascii="幼圆" w:hAnsi="Times New Roman" w:eastAsia="幼圆" w:cs="Times New Roman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t>-2014、</w:t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t>销售数据报告报文</w:t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幼圆" w:hAnsi="Times New Roman" w:eastAsia="幼圆" w:cs="Times New Roman"/>
                <w:sz w:val="24"/>
                <w:lang w:val="en-US" w:eastAsia="zh-CN"/>
              </w:rPr>
              <w:t>GB/T 17705</w:t>
            </w:r>
            <w:r>
              <w:rPr>
                <w:rFonts w:hint="default" w:ascii="幼圆" w:hAnsi="Times New Roman" w:eastAsia="幼圆" w:cs="Times New Roman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幼圆" w:hAnsi="Times New Roman" w:eastAsia="幼圆" w:cs="Times New Roman"/>
                <w:sz w:val="24"/>
                <w:lang w:val="en-US" w:eastAsia="zh-CN"/>
              </w:rPr>
              <w:t>-1999、租赁承包用脚手架采购指南SB/T 11186-2017；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152400</wp:posOffset>
                  </wp:positionV>
                  <wp:extent cx="906780" cy="307975"/>
                  <wp:effectExtent l="0" t="0" r="7620" b="9525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2022年11月12日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186690</wp:posOffset>
                  </wp:positionV>
                  <wp:extent cx="906780" cy="307975"/>
                  <wp:effectExtent l="0" t="0" r="7620" b="9525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2022年11月12日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0E02F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2022-11-11T14:35:59Z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