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绵竹市德树木材加工厂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四川省绵竹市孝德镇斗峰村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四川省绵竹市孝德镇斗峰村/四川省德阳市旌阳区柏隆镇南桂村一组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1224-2022-Q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袁述基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13990292906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4" w:name="管理者代表"/>
            <w:r>
              <w:rPr>
                <w:sz w:val="21"/>
                <w:szCs w:val="21"/>
              </w:rPr>
              <w:t>袁述基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木质包装箱、木托盘、木板、木方、木条、层积材、胶合板的加工（需资质的除外）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06.01.00;06.02.01;06.02.04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2022年11月10日 上午至2022年11月10日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2020-N1QMS-1247783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2020-N1QMS-1265256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尹静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ISC-JSZJ-232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贵州煜旺木材加工厂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06.01.00,06.02.01,06.02.04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13658105731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尹静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sz w:val="21"/>
                <w:szCs w:val="21"/>
              </w:rPr>
              <w:t>贵州煜旺木材加工厂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ISC-JSZJ-232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sz w:val="21"/>
                <w:szCs w:val="21"/>
              </w:rPr>
              <w:t>06.01.00,06.02.01,06.02.04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</w:t>
            </w:r>
          </w:p>
        </w:tc>
        <w:tc>
          <w:tcPr>
            <w:tcW w:w="1084" w:type="dxa"/>
            <w:vAlign w:val="center"/>
          </w:tcPr>
          <w:p>
            <w:r>
              <w:rPr>
                <w:sz w:val="21"/>
                <w:szCs w:val="21"/>
              </w:rPr>
              <w:t>13658105731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46990</wp:posOffset>
                  </wp:positionV>
                  <wp:extent cx="590550" cy="269875"/>
                  <wp:effectExtent l="0" t="0" r="0" b="15875"/>
                  <wp:wrapNone/>
                  <wp:docPr id="2" name="图片 2" descr="C:\Users\24309\AppData\Local\Temp\WeChat Files\5312dc77a33e48f7e27afd1355936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24309\AppData\Local\Temp\WeChat Files\5312dc77a33e48f7e27afd13559367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269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2022.11.7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2022.11.7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31" w:name="_GoBack"/>
            <w:bookmarkEnd w:id="31"/>
            <w:r>
              <w:rPr>
                <w:rFonts w:hint="eastAsia"/>
                <w:b/>
                <w:sz w:val="20"/>
                <w:lang w:val="en-US" w:eastAsia="zh-CN"/>
              </w:rPr>
              <w:t>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9:00-12:00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陈伟、尹静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14D0B1B"/>
    <w:rsid w:val="02AD40CA"/>
    <w:rsid w:val="078F59E9"/>
    <w:rsid w:val="083375A0"/>
    <w:rsid w:val="0CB47CA0"/>
    <w:rsid w:val="14AE4579"/>
    <w:rsid w:val="177644D0"/>
    <w:rsid w:val="1BE35EAC"/>
    <w:rsid w:val="20AA51EA"/>
    <w:rsid w:val="22EA7B20"/>
    <w:rsid w:val="2CD47877"/>
    <w:rsid w:val="31D10829"/>
    <w:rsid w:val="32CB171C"/>
    <w:rsid w:val="3BE60A54"/>
    <w:rsid w:val="45401AF6"/>
    <w:rsid w:val="458D2861"/>
    <w:rsid w:val="486E0728"/>
    <w:rsid w:val="4B3A0D95"/>
    <w:rsid w:val="4C575977"/>
    <w:rsid w:val="5452714F"/>
    <w:rsid w:val="64D616D7"/>
    <w:rsid w:val="6C1B20C5"/>
    <w:rsid w:val="72FE60E2"/>
    <w:rsid w:val="75BE243F"/>
    <w:rsid w:val="75C75406"/>
    <w:rsid w:val="766C59F7"/>
    <w:rsid w:val="792737ED"/>
    <w:rsid w:val="7C572CA5"/>
    <w:rsid w:val="7E6416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TotalTime>1</TotalTime>
  <ScaleCrop>false</ScaleCrop>
  <LinksUpToDate>false</LinksUpToDate>
  <CharactersWithSpaces>3698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2022-11-10T01:46:31Z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2052-11.1.0.12763</vt:lpwstr>
  </property>
</Properties>
</file>