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1214-2022-EnMS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泰州市凤城物业管理有限公司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2022年11月13日 上午至2022年11月13日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8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rPr>
                <w:rFonts w:hint="default" w:ascii="宋体" w:hAnsi="宋体" w:eastAsia="宋体"/>
                <w:b/>
                <w:color w:val="000000"/>
                <w:szCs w:val="21"/>
                <w:lang w:val="en-US" w:eastAsia="zh-CN"/>
              </w:rPr>
            </w:pPr>
            <w:bookmarkStart w:id="33" w:name="_GoBack"/>
            <w:bookmarkEnd w:id="33"/>
            <w:r>
              <w:rPr>
                <w:rFonts w:hint="eastAsia" w:ascii="宋体" w:hAnsi="宋体"/>
                <w:b/>
                <w:color w:val="000000"/>
                <w:szCs w:val="21"/>
                <w:lang w:val="de-DE"/>
              </w:rPr>
              <w:sym w:font="Wingdings 2" w:char="0052"/>
            </w:r>
            <w:r>
              <w:rPr>
                <w:rFonts w:hint="eastAsia" w:ascii="宋体" w:hAnsi="宋体"/>
                <w:b/>
                <w:color w:val="000000"/>
                <w:szCs w:val="21"/>
              </w:rPr>
              <w:t>能源认证标准</w:t>
            </w:r>
            <w:r>
              <w:rPr>
                <w:rFonts w:hint="eastAsia" w:ascii="宋体" w:hAnsi="宋体"/>
                <w:b/>
                <w:color w:val="000000"/>
                <w:szCs w:val="21"/>
                <w:lang w:val="de-DE"/>
              </w:rPr>
              <w:t>：RB</w:t>
            </w:r>
            <w:r>
              <w:rPr>
                <w:rFonts w:hint="eastAsia" w:ascii="宋体" w:hAnsi="宋体"/>
                <w:b/>
                <w:color w:val="000000"/>
                <w:szCs w:val="21"/>
                <w:lang w:val="en-US" w:eastAsia="zh-CN"/>
              </w:rPr>
              <w:t>107-2013</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河北省石家庄市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2.10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泰州市凤城物业管理有限公司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泰州市海陵区泰东商业广场南楼501室</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225300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生产地址"/>
            <w:bookmarkStart w:id="25" w:name="办公地址"/>
            <w:r>
              <w:rPr>
                <w:rFonts w:ascii="宋体"/>
                <w:b/>
                <w:color w:val="000000"/>
                <w:szCs w:val="21"/>
              </w:rPr>
              <w:t>江苏省泰州市海陵区泰东商业广场南楼501室</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225300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hint="eastAsia" w:ascii="宋体" w:hAnsi="宋体" w:eastAsia="宋体"/>
                <w:b/>
                <w:color w:val="000000"/>
                <w:szCs w:val="21"/>
                <w:lang w:val="en-US" w:eastAsia="zh-CN"/>
              </w:rPr>
            </w:pPr>
            <w:r>
              <w:rPr>
                <w:rFonts w:hint="eastAsia" w:ascii="宋体" w:hAnsi="宋体"/>
                <w:b/>
                <w:color w:val="000000"/>
                <w:szCs w:val="21"/>
                <w:lang w:val="en-US" w:eastAsia="zh-CN"/>
              </w:rPr>
              <w:t>多场所</w:t>
            </w:r>
          </w:p>
        </w:tc>
        <w:tc>
          <w:tcPr>
            <w:tcW w:w="5045" w:type="dxa"/>
            <w:gridSpan w:val="3"/>
          </w:tcPr>
          <w:p>
            <w:pPr>
              <w:rPr>
                <w:rFonts w:ascii="宋体"/>
                <w:b/>
                <w:color w:val="000000"/>
                <w:szCs w:val="21"/>
              </w:rPr>
            </w:pPr>
            <w:r>
              <w:rPr>
                <w:rFonts w:hint="eastAsia" w:ascii="宋体" w:hAnsi="Times New Roman" w:eastAsia="宋体" w:cs="Times New Roman"/>
                <w:b/>
                <w:color w:val="000000"/>
                <w:szCs w:val="21"/>
                <w:lang w:val="en-US" w:eastAsia="zh-CN"/>
              </w:rPr>
              <w:t>天和家园小区/泰州市海陵区育才路99号</w:t>
            </w:r>
          </w:p>
        </w:tc>
        <w:tc>
          <w:tcPr>
            <w:tcW w:w="1242" w:type="dxa"/>
            <w:gridSpan w:val="2"/>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白筱君</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13952613099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肖华</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白筱君</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物业管理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drawing>
                <wp:inline distT="0" distB="0" distL="114300" distR="114300">
                  <wp:extent cx="4977130" cy="795655"/>
                  <wp:effectExtent l="0" t="0" r="127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977130" cy="79565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32" w:name="审核范围"/>
            <w:r>
              <w:t>物业管理服务涉及的能源管理活动</w:t>
            </w:r>
            <w:bookmarkEnd w:id="3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秩序员</w:t>
            </w:r>
            <w:r>
              <w:rPr>
                <w:rFonts w:hint="eastAsia" w:ascii="宋体" w:hAnsi="宋体"/>
                <w:color w:val="000000"/>
                <w:szCs w:val="21"/>
                <w:lang w:eastAsia="zh-CN"/>
              </w:rPr>
              <w:t>）</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001"/>
        <w:gridCol w:w="2267"/>
        <w:gridCol w:w="571"/>
        <w:gridCol w:w="1661"/>
        <w:gridCol w:w="18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13"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00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1661"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13" w:type="dxa"/>
            <w:vAlign w:val="center"/>
          </w:tcPr>
          <w:p>
            <w:pPr>
              <w:spacing w:before="40" w:after="40"/>
              <w:rPr>
                <w:rFonts w:eastAsia="黑体"/>
                <w:szCs w:val="21"/>
                <w:lang w:eastAsia="ja-JP"/>
              </w:rPr>
            </w:pPr>
            <w:r>
              <w:rPr>
                <w:rFonts w:eastAsia="黑体"/>
                <w:szCs w:val="21"/>
                <w:lang w:eastAsia="ja-JP"/>
              </w:rPr>
              <w:t>01</w:t>
            </w:r>
          </w:p>
        </w:tc>
        <w:tc>
          <w:tcPr>
            <w:tcW w:w="2001" w:type="dxa"/>
            <w:vMerge w:val="restart"/>
            <w:vAlign w:val="top"/>
          </w:tcPr>
          <w:p>
            <w:pPr>
              <w:rPr>
                <w:rFonts w:hint="eastAsia" w:ascii="Times New Roman" w:hAnsi="Times New Roman" w:eastAsia="宋体" w:cs="Times New Roman"/>
                <w:kern w:val="2"/>
                <w:sz w:val="21"/>
                <w:szCs w:val="24"/>
                <w:lang w:val="de-DE" w:eastAsia="ja-JP" w:bidi="ar-SA"/>
              </w:rPr>
            </w:pPr>
            <w:r>
              <w:rPr>
                <w:sz w:val="21"/>
                <w:szCs w:val="21"/>
              </w:rPr>
              <w:t>泰州市凤城物业管理有限公司</w:t>
            </w:r>
            <w:r>
              <w:rPr>
                <w:rFonts w:hint="eastAsia"/>
                <w:sz w:val="21"/>
                <w:szCs w:val="21"/>
                <w:lang w:val="en-US" w:eastAsia="zh-CN"/>
              </w:rPr>
              <w:t>/</w:t>
            </w:r>
            <w:r>
              <w:rPr>
                <w:rFonts w:asciiTheme="minorEastAsia" w:hAnsiTheme="minorEastAsia" w:eastAsiaTheme="minorEastAsia"/>
                <w:sz w:val="20"/>
              </w:rPr>
              <w:t>泰州市海陵区泰东商业广场南楼501室</w:t>
            </w:r>
          </w:p>
        </w:tc>
        <w:tc>
          <w:tcPr>
            <w:tcW w:w="2267" w:type="dxa"/>
            <w:vAlign w:val="top"/>
          </w:tcPr>
          <w:p>
            <w:pPr>
              <w:rPr>
                <w:rFonts w:ascii="Times New Roman" w:hAnsi="Times New Roman" w:eastAsia="宋体" w:cs="Times New Roman"/>
                <w:kern w:val="2"/>
                <w:sz w:val="21"/>
                <w:szCs w:val="24"/>
                <w:lang w:val="de-DE" w:eastAsia="ja-JP" w:bidi="ar-SA"/>
              </w:rPr>
            </w:pPr>
            <w:r>
              <w:rPr>
                <w:rFonts w:asciiTheme="minorEastAsia" w:hAnsiTheme="minorEastAsia" w:eastAsiaTheme="minorEastAsia"/>
                <w:sz w:val="20"/>
              </w:rPr>
              <w:t>江苏省泰州市海陵区泰东商业广场南楼501室</w:t>
            </w:r>
          </w:p>
        </w:tc>
        <w:tc>
          <w:tcPr>
            <w:tcW w:w="571" w:type="dxa"/>
            <w:vMerge w:val="restart"/>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53</w:t>
            </w:r>
          </w:p>
        </w:tc>
        <w:tc>
          <w:tcPr>
            <w:tcW w:w="1661" w:type="dxa"/>
            <w:vMerge w:val="restart"/>
            <w:vAlign w:val="center"/>
          </w:tcPr>
          <w:p>
            <w:pPr>
              <w:rPr>
                <w:rFonts w:ascii="Times New Roman" w:hAnsi="Times New Roman" w:eastAsia="宋体" w:cs="Times New Roman"/>
                <w:kern w:val="2"/>
                <w:sz w:val="21"/>
                <w:szCs w:val="24"/>
                <w:lang w:val="en-US" w:eastAsia="ja-JP" w:bidi="ar-SA"/>
              </w:rPr>
            </w:pPr>
            <w:r>
              <w:t>物业管理服务涉及的能源管理活动</w:t>
            </w:r>
          </w:p>
        </w:tc>
        <w:tc>
          <w:tcPr>
            <w:tcW w:w="1811" w:type="dxa"/>
            <w:vMerge w:val="restart"/>
            <w:vAlign w:val="center"/>
          </w:tcPr>
          <w:p>
            <w:pPr>
              <w:rPr>
                <w:rFonts w:hint="eastAsia"/>
                <w:lang w:val="en-US" w:eastAsia="zh-CN"/>
              </w:rPr>
            </w:pPr>
            <w:r>
              <w:rPr>
                <w:rFonts w:hint="eastAsia"/>
                <w:lang w:val="en-US" w:eastAsia="zh-CN"/>
              </w:rPr>
              <w:t>GB/T23331-2020</w:t>
            </w:r>
          </w:p>
          <w:p>
            <w:pPr>
              <w:pStyle w:val="2"/>
              <w:rPr>
                <w:rFonts w:hint="default" w:ascii="Times New Roman" w:hAnsi="Times New Roman" w:eastAsia="宋体" w:cs="Times New Roman"/>
                <w:kern w:val="2"/>
                <w:sz w:val="21"/>
                <w:szCs w:val="24"/>
                <w:lang w:val="en-US" w:eastAsia="ja-JP" w:bidi="ar-SA"/>
              </w:rPr>
            </w:pPr>
            <w:r>
              <w:rPr>
                <w:rFonts w:hint="eastAsia"/>
                <w:lang w:val="en-US" w:eastAsia="zh-CN"/>
              </w:rPr>
              <w:t>RB/T107-2013</w:t>
            </w:r>
          </w:p>
        </w:tc>
        <w:tc>
          <w:tcPr>
            <w:tcW w:w="668" w:type="dxa"/>
            <w:vMerge w:val="restart"/>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sdt>
            <w:sdtPr>
              <w:rPr>
                <w:rFonts w:eastAsia="黑体"/>
                <w:szCs w:val="21"/>
              </w:rPr>
              <w:id w:val="1360237495"/>
            </w:sdtPr>
            <w:sdtEndPr>
              <w:rPr>
                <w:rFonts w:eastAsia="黑体"/>
                <w:szCs w:val="21"/>
              </w:rPr>
            </w:sdtEndPr>
            <w:sdtContent>
              <w:p>
                <w:pPr>
                  <w:rPr>
                    <w:rFonts w:eastAsia="黑体"/>
                    <w:szCs w:val="21"/>
                  </w:rPr>
                </w:pPr>
              </w:p>
            </w:sdtContent>
          </w:sdt>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Align w:val="center"/>
          </w:tcPr>
          <w:p>
            <w:pPr>
              <w:spacing w:before="40" w:after="40"/>
              <w:rPr>
                <w:rFonts w:eastAsia="黑体"/>
                <w:szCs w:val="21"/>
                <w:lang w:eastAsia="ja-JP"/>
              </w:rPr>
            </w:pPr>
            <w:r>
              <w:rPr>
                <w:rFonts w:eastAsia="黑体"/>
                <w:szCs w:val="21"/>
                <w:lang w:eastAsia="ja-JP"/>
              </w:rPr>
              <w:t>02</w:t>
            </w:r>
          </w:p>
        </w:tc>
        <w:tc>
          <w:tcPr>
            <w:tcW w:w="2001" w:type="dxa"/>
            <w:vMerge w:val="continue"/>
            <w:vAlign w:val="center"/>
          </w:tcPr>
          <w:p>
            <w:pPr>
              <w:rPr>
                <w:rFonts w:ascii="Times New Roman" w:hAnsi="Times New Roman" w:eastAsia="宋体" w:cs="Times New Roman"/>
                <w:kern w:val="2"/>
                <w:sz w:val="21"/>
                <w:szCs w:val="24"/>
                <w:lang w:val="en-US" w:eastAsia="ja-JP" w:bidi="ar-SA"/>
              </w:rPr>
            </w:pPr>
          </w:p>
        </w:tc>
        <w:tc>
          <w:tcPr>
            <w:tcW w:w="2267" w:type="dxa"/>
            <w:vAlign w:val="center"/>
          </w:tcPr>
          <w:p>
            <w:pPr>
              <w:rPr>
                <w:rFonts w:ascii="Times New Roman" w:hAnsi="Times New Roman" w:eastAsia="宋体" w:cs="Times New Roman"/>
                <w:kern w:val="2"/>
                <w:sz w:val="21"/>
                <w:szCs w:val="24"/>
                <w:lang w:val="en-US" w:eastAsia="ja-JP" w:bidi="ar-SA"/>
              </w:rPr>
            </w:pPr>
            <w:r>
              <w:rPr>
                <w:rFonts w:hint="eastAsia" w:cs="Times New Roman" w:asciiTheme="minorEastAsia" w:hAnsiTheme="minorEastAsia" w:eastAsiaTheme="minorEastAsia"/>
                <w:sz w:val="20"/>
                <w:lang w:val="en-US" w:eastAsia="zh-CN"/>
              </w:rPr>
              <w:t>天和家园小区/泰州市海陵区育才路99号</w:t>
            </w:r>
          </w:p>
        </w:tc>
        <w:tc>
          <w:tcPr>
            <w:tcW w:w="571" w:type="dxa"/>
            <w:vMerge w:val="continue"/>
            <w:vAlign w:val="center"/>
          </w:tcPr>
          <w:p>
            <w:pPr>
              <w:spacing w:before="40" w:after="40"/>
              <w:rPr>
                <w:rFonts w:eastAsia="黑体"/>
                <w:szCs w:val="21"/>
                <w:lang w:eastAsia="ja-JP"/>
              </w:rPr>
            </w:pPr>
          </w:p>
        </w:tc>
        <w:tc>
          <w:tcPr>
            <w:tcW w:w="1661" w:type="dxa"/>
            <w:vMerge w:val="continue"/>
            <w:vAlign w:val="center"/>
          </w:tcPr>
          <w:p>
            <w:pPr>
              <w:spacing w:before="40" w:after="40"/>
              <w:rPr>
                <w:rFonts w:eastAsia="黑体"/>
                <w:szCs w:val="21"/>
                <w:lang w:eastAsia="ja-JP"/>
              </w:rPr>
            </w:pPr>
          </w:p>
        </w:tc>
        <w:tc>
          <w:tcPr>
            <w:tcW w:w="1811" w:type="dxa"/>
            <w:vMerge w:val="continue"/>
            <w:vAlign w:val="center"/>
          </w:tcPr>
          <w:p>
            <w:pPr>
              <w:spacing w:before="40" w:after="40"/>
              <w:rPr>
                <w:rFonts w:eastAsia="黑体"/>
                <w:szCs w:val="21"/>
                <w:lang w:eastAsia="ja-JP"/>
              </w:rPr>
            </w:pPr>
          </w:p>
        </w:tc>
        <w:tc>
          <w:tcPr>
            <w:tcW w:w="668" w:type="dxa"/>
            <w:vMerge w:val="continue"/>
            <w:shd w:val="clear" w:color="auto" w:fill="FFFFFF"/>
          </w:tcPr>
          <w:p>
            <w:pPr>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3" w:type="dxa"/>
            <w:vAlign w:val="center"/>
          </w:tcPr>
          <w:p>
            <w:pPr>
              <w:spacing w:before="40" w:after="40"/>
              <w:rPr>
                <w:rFonts w:eastAsia="黑体"/>
                <w:szCs w:val="21"/>
                <w:lang w:eastAsia="ja-JP"/>
              </w:rPr>
            </w:pPr>
            <w:r>
              <w:rPr>
                <w:rFonts w:eastAsia="黑体"/>
                <w:szCs w:val="21"/>
                <w:lang w:eastAsia="ja-JP"/>
              </w:rPr>
              <w:t>03</w:t>
            </w:r>
          </w:p>
        </w:tc>
        <w:tc>
          <w:tcPr>
            <w:tcW w:w="2001" w:type="dxa"/>
            <w:vAlign w:val="center"/>
          </w:tcPr>
          <w:p>
            <w:pPr>
              <w:rPr>
                <w:rFonts w:ascii="Times New Roman" w:hAnsi="Times New Roman" w:eastAsia="宋体" w:cs="Times New Roman"/>
                <w:kern w:val="2"/>
                <w:sz w:val="21"/>
                <w:szCs w:val="24"/>
                <w:lang w:val="en-US" w:eastAsia="ja-JP" w:bidi="ar-SA"/>
              </w:rPr>
            </w:pPr>
          </w:p>
        </w:tc>
        <w:tc>
          <w:tcPr>
            <w:tcW w:w="2267" w:type="dxa"/>
            <w:vAlign w:val="center"/>
          </w:tcPr>
          <w:p>
            <w:pPr>
              <w:rPr>
                <w:rFonts w:ascii="Times New Roman" w:hAnsi="Times New Roman" w:eastAsia="宋体" w:cs="Times New Roman"/>
                <w:kern w:val="2"/>
                <w:sz w:val="21"/>
                <w:szCs w:val="24"/>
                <w:lang w:val="en-US" w:eastAsia="ja-JP" w:bidi="ar-SA"/>
              </w:rPr>
            </w:pPr>
          </w:p>
        </w:tc>
        <w:tc>
          <w:tcPr>
            <w:tcW w:w="571" w:type="dxa"/>
            <w:vAlign w:val="center"/>
          </w:tcPr>
          <w:p>
            <w:pPr>
              <w:rPr>
                <w:rFonts w:ascii="Times New Roman" w:hAnsi="Times New Roman" w:eastAsia="宋体" w:cs="Times New Roman"/>
                <w:kern w:val="2"/>
                <w:sz w:val="21"/>
                <w:szCs w:val="24"/>
                <w:lang w:val="en-US" w:eastAsia="ja-JP" w:bidi="ar-SA"/>
              </w:rPr>
            </w:pPr>
          </w:p>
        </w:tc>
        <w:tc>
          <w:tcPr>
            <w:tcW w:w="1661" w:type="dxa"/>
            <w:vAlign w:val="center"/>
          </w:tcPr>
          <w:p>
            <w:pPr>
              <w:rPr>
                <w:rFonts w:ascii="Times New Roman" w:hAnsi="Times New Roman" w:eastAsia="宋体" w:cs="Times New Roman"/>
                <w:kern w:val="2"/>
                <w:sz w:val="21"/>
                <w:szCs w:val="24"/>
                <w:lang w:val="en-US" w:eastAsia="ja-JP" w:bidi="ar-SA"/>
              </w:rPr>
            </w:pPr>
          </w:p>
        </w:tc>
        <w:tc>
          <w:tcPr>
            <w:tcW w:w="1811" w:type="dxa"/>
            <w:vAlign w:val="center"/>
          </w:tcPr>
          <w:p>
            <w:pPr>
              <w:rPr>
                <w:rFonts w:ascii="Times New Roman" w:hAnsi="Times New Roman" w:eastAsia="宋体" w:cs="Times New Roman"/>
                <w:kern w:val="2"/>
                <w:sz w:val="21"/>
                <w:szCs w:val="24"/>
                <w:lang w:val="en-US" w:eastAsia="ja-JP" w:bidi="ar-SA"/>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highlight w:val="none"/>
                <w:u w:val="single"/>
                <w:lang w:val="en-US" w:eastAsia="zh-CN"/>
              </w:rPr>
              <w:t>9</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8-9</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highlight w:val="none"/>
                <w:u w:val="single"/>
                <w:lang w:val="en-US" w:eastAsia="zh-CN"/>
              </w:rPr>
              <w:t>年9月25</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hint="eastAsia" w:ascii="宋体" w:hAnsi="宋体"/>
          <w:b/>
          <w:color w:val="000000"/>
          <w:szCs w:val="21"/>
        </w:rPr>
      </w:pPr>
    </w:p>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10"/>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auto"/>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auto"/>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hint="default" w:ascii="宋体" w:eastAsia="宋体"/>
                <w:color w:val="000000"/>
                <w:sz w:val="20"/>
                <w:szCs w:val="20"/>
                <w:lang w:val="en-US" w:eastAsia="zh-CN"/>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r>
              <w:rPr>
                <w:rFonts w:hint="eastAsia" w:ascii="宋体" w:hAnsi="宋体"/>
                <w:color w:val="000000"/>
                <w:sz w:val="20"/>
                <w:szCs w:val="20"/>
                <w:lang w:eastAsia="zh-CN"/>
              </w:rPr>
              <w:t>——</w:t>
            </w:r>
            <w:r>
              <w:rPr>
                <w:rFonts w:hint="eastAsia" w:ascii="宋体" w:hAnsi="宋体"/>
                <w:color w:val="000000"/>
                <w:sz w:val="20"/>
                <w:szCs w:val="20"/>
                <w:lang w:val="en-US" w:eastAsia="zh-CN"/>
              </w:rPr>
              <w:t>无限额要求</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auto"/>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auto"/>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auto"/>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auto"/>
          </w:tcPr>
          <w:p>
            <w:pPr>
              <w:rPr>
                <w:rFonts w:ascii="宋体"/>
                <w:color w:val="000000"/>
                <w:szCs w:val="21"/>
              </w:rPr>
            </w:pPr>
            <w:r>
              <w:rPr>
                <w:rFonts w:hint="eastAsia" w:ascii="宋体"/>
                <w:color w:val="000000"/>
                <w:szCs w:val="21"/>
              </w:rPr>
              <w:t>是否有节能评估报告，</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是否有节能评估报告的批复，</w:t>
            </w:r>
            <w:r>
              <w:rPr>
                <w:rFonts w:hint="eastAsia" w:ascii="宋体"/>
                <w:color w:val="000000"/>
                <w:szCs w:val="21"/>
              </w:rPr>
              <w:sym w:font="Wingdings 2" w:char="00A3"/>
            </w:r>
            <w:r>
              <w:rPr>
                <w:rFonts w:hint="eastAsia" w:ascii="宋体"/>
                <w:color w:val="000000"/>
                <w:szCs w:val="21"/>
              </w:rPr>
              <w:t>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A3"/>
            </w:r>
            <w:r>
              <w:rPr>
                <w:rFonts w:hint="eastAsia" w:ascii="宋体"/>
                <w:color w:val="000000"/>
                <w:szCs w:val="21"/>
              </w:rPr>
              <w:t>是□否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A3"/>
            </w:r>
            <w:r>
              <w:rPr>
                <w:rFonts w:hint="eastAsia" w:ascii="宋体"/>
                <w:color w:val="000000"/>
                <w:szCs w:val="21"/>
              </w:rPr>
              <w:t>是</w:t>
            </w:r>
            <w:r>
              <w:rPr>
                <w:rFonts w:hint="eastAsia" w:ascii="宋体"/>
                <w:color w:val="000000"/>
                <w:szCs w:val="21"/>
              </w:rPr>
              <w:sym w:font="Wingdings 2" w:char="00A3"/>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auto"/>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auto"/>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auto"/>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auto"/>
          </w:tcPr>
          <w:p>
            <w:pPr>
              <w:ind w:left="168" w:leftChars="80"/>
              <w:rPr>
                <w:rFonts w:ascii="宋体"/>
                <w:color w:val="000000"/>
                <w:spacing w:val="-10"/>
                <w:szCs w:val="21"/>
              </w:rPr>
            </w:pPr>
          </w:p>
        </w:tc>
        <w:tc>
          <w:tcPr>
            <w:tcW w:w="6246" w:type="dxa"/>
            <w:shd w:val="clear" w:color="auto" w:fill="auto"/>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auto"/>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auto"/>
          </w:tcPr>
          <w:p>
            <w:pPr>
              <w:rPr>
                <w:rFonts w:ascii="宋体"/>
                <w:color w:val="000000"/>
                <w:spacing w:val="-10"/>
                <w:szCs w:val="21"/>
              </w:rPr>
            </w:pPr>
            <w:r>
              <w:rPr>
                <w:rFonts w:hint="eastAsia" w:ascii="宋体"/>
                <w:color w:val="000000"/>
                <w:spacing w:val="-10"/>
                <w:szCs w:val="21"/>
              </w:rPr>
              <w:t>能源管理体系重点关注</w:t>
            </w:r>
          </w:p>
        </w:tc>
        <w:tc>
          <w:tcPr>
            <w:tcW w:w="8691" w:type="dxa"/>
            <w:gridSpan w:val="3"/>
            <w:shd w:val="clear" w:color="auto" w:fill="auto"/>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A3"/>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一个多场所，见多场所清单。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初步定于2022-</w:t>
            </w:r>
            <w:r>
              <w:rPr>
                <w:rFonts w:hint="eastAsia" w:ascii="宋体"/>
                <w:b/>
                <w:color w:val="000000"/>
                <w:szCs w:val="21"/>
                <w:lang w:val="en-US" w:eastAsia="zh-CN"/>
              </w:rPr>
              <w:t>11</w:t>
            </w:r>
            <w:r>
              <w:rPr>
                <w:rFonts w:hint="eastAsia" w:ascii="宋体"/>
                <w:b/>
                <w:color w:val="000000"/>
                <w:szCs w:val="21"/>
              </w:rPr>
              <w:t>-</w:t>
            </w:r>
            <w:r>
              <w:rPr>
                <w:rFonts w:hint="eastAsia" w:ascii="宋体"/>
                <w:b/>
                <w:color w:val="000000"/>
                <w:szCs w:val="21"/>
                <w:lang w:val="en-US" w:eastAsia="zh-CN"/>
              </w:rPr>
              <w:t>14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442"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442"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color w:val="000000"/>
                <w:szCs w:val="21"/>
                <w:lang w:val="en-US" w:eastAsia="zh-CN"/>
              </w:rPr>
            </w:pPr>
          </w:p>
        </w:tc>
        <w:tc>
          <w:tcPr>
            <w:tcW w:w="1541" w:type="dxa"/>
            <w:vAlign w:val="center"/>
          </w:tcPr>
          <w:p>
            <w:pPr>
              <w:spacing w:line="400" w:lineRule="exact"/>
              <w:rPr>
                <w:rFonts w:hint="default" w:ascii="宋体" w:hAnsi="宋体" w:eastAsia="宋体"/>
                <w:b/>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eastAsia="宋体"/>
          <w:sz w:val="21"/>
          <w:szCs w:val="21"/>
          <w:lang w:eastAsia="zh-CN"/>
        </w:rPr>
        <w:drawing>
          <wp:anchor distT="0" distB="0" distL="114300" distR="114300" simplePos="0" relativeHeight="251706368" behindDoc="0" locked="0" layoutInCell="1" allowOverlap="1">
            <wp:simplePos x="0" y="0"/>
            <wp:positionH relativeFrom="column">
              <wp:posOffset>1779905</wp:posOffset>
            </wp:positionH>
            <wp:positionV relativeFrom="paragraph">
              <wp:posOffset>252095</wp:posOffset>
            </wp:positionV>
            <wp:extent cx="895350" cy="319405"/>
            <wp:effectExtent l="0" t="0" r="0" b="10795"/>
            <wp:wrapSquare wrapText="bothSides"/>
            <wp:docPr id="5" name="图片 5"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李丽英电子签"/>
                    <pic:cNvPicPr>
                      <a:picLocks noChangeAspect="1"/>
                    </pic:cNvPicPr>
                  </pic:nvPicPr>
                  <pic:blipFill>
                    <a:blip r:embed="rId7"/>
                    <a:stretch>
                      <a:fillRect/>
                    </a:stretch>
                  </pic:blipFill>
                  <pic:spPr>
                    <a:xfrm>
                      <a:off x="0" y="0"/>
                      <a:ext cx="895350" cy="3194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default" w:ascii="宋体" w:eastAsia="宋体"/>
          <w:b/>
          <w:color w:val="000000"/>
          <w:szCs w:val="21"/>
          <w:lang w:val="en-US"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p>
    <w:p>
      <w:pPr>
        <w:ind w:firstLine="843" w:firstLineChars="400"/>
        <w:rPr>
          <w:rFonts w:hint="eastAsia"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 xml:space="preserve">2022.11.13                </w:t>
      </w:r>
    </w:p>
    <w:p>
      <w:pPr>
        <w:tabs>
          <w:tab w:val="left" w:pos="645"/>
        </w:tabs>
        <w:spacing w:after="156" w:afterLines="50" w:line="360" w:lineRule="exact"/>
        <w:rPr>
          <w:rFonts w:hint="eastAsia"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710464" behindDoc="0" locked="0" layoutInCell="1" allowOverlap="1">
                  <wp:simplePos x="0" y="0"/>
                  <wp:positionH relativeFrom="column">
                    <wp:posOffset>786130</wp:posOffset>
                  </wp:positionH>
                  <wp:positionV relativeFrom="paragraph">
                    <wp:posOffset>32385</wp:posOffset>
                  </wp:positionV>
                  <wp:extent cx="673100" cy="274955"/>
                  <wp:effectExtent l="0" t="0" r="0" b="3810"/>
                  <wp:wrapSquare wrapText="bothSides"/>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714560" behindDoc="0" locked="0" layoutInCell="1" allowOverlap="1">
                  <wp:simplePos x="0" y="0"/>
                  <wp:positionH relativeFrom="column">
                    <wp:posOffset>671830</wp:posOffset>
                  </wp:positionH>
                  <wp:positionV relativeFrom="paragraph">
                    <wp:posOffset>117475</wp:posOffset>
                  </wp:positionV>
                  <wp:extent cx="673100" cy="274955"/>
                  <wp:effectExtent l="0" t="0" r="0" b="3810"/>
                  <wp:wrapSquare wrapText="bothSides"/>
                  <wp:docPr id="6" name="图片 6"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丽英电子签"/>
                          <pic:cNvPicPr>
                            <a:picLocks noChangeAspect="1"/>
                          </pic:cNvPicPr>
                        </pic:nvPicPr>
                        <pic:blipFill>
                          <a:blip r:embed="rId8"/>
                          <a:stretch>
                            <a:fillRect/>
                          </a:stretch>
                        </pic:blipFill>
                        <pic:spPr>
                          <a:xfrm>
                            <a:off x="0" y="0"/>
                            <a:ext cx="673100" cy="27495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B39AE4BE"/>
    <w:multiLevelType w:val="singleLevel"/>
    <w:tmpl w:val="B39AE4BE"/>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F725373"/>
    <w:rsid w:val="30DE3D26"/>
    <w:rsid w:val="31757976"/>
    <w:rsid w:val="77E910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List Bullet 5"/>
    <w:basedOn w:val="1"/>
    <w:semiHidden/>
    <w:unhideWhenUsed/>
    <w:uiPriority w:val="99"/>
    <w:pPr>
      <w:numPr>
        <w:ilvl w:val="0"/>
        <w:numId w:val="2"/>
      </w:numPr>
    </w:p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2022-11-16T08:54:45Z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