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重庆竹柳电力成套设备有限公司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sz w:val="21"/>
                <w:szCs w:val="21"/>
              </w:rPr>
              <w:t>2022年11月11日 上午至2022年11月12日 上午</w:t>
            </w:r>
            <w:bookmarkEnd w:id="1"/>
            <w:r>
              <w:rPr>
                <w:rFonts w:hint="eastAsia"/>
                <w:sz w:val="21"/>
                <w:szCs w:val="21"/>
              </w:rPr>
              <w:t>(共</w:t>
            </w:r>
            <w:bookmarkStart w:id="2" w:name="审核天数"/>
            <w:r>
              <w:rPr>
                <w:rFonts w:hint="eastAsia"/>
                <w:sz w:val="21"/>
                <w:szCs w:val="21"/>
              </w:rPr>
              <w:t>1.5</w:t>
            </w:r>
            <w:bookmarkEnd w:id="2"/>
            <w:r>
              <w:rPr>
                <w:rFonts w:hint="eastAsia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127635</wp:posOffset>
                  </wp:positionV>
                  <wp:extent cx="812800" cy="400050"/>
                  <wp:effectExtent l="0" t="0" r="6350" b="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</w:rPr>
              <w:t>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D5916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2022-11-07T03:37:59Z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