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鞍山钢峰风机有限责任公司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1120-2021-2022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1120-2021-2022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985"/>
        <w:gridCol w:w="1905"/>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8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鞍山钢峰风机有限责任公司</w:t>
            </w:r>
            <w:bookmarkEnd w:id="4"/>
          </w:p>
        </w:tc>
        <w:tc>
          <w:tcPr>
            <w:tcW w:w="190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解军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8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ISC-2021-1141</w:t>
            </w:r>
            <w:bookmarkEnd w:id="6"/>
          </w:p>
        </w:tc>
        <w:tc>
          <w:tcPr>
            <w:tcW w:w="190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2026-11-01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vAlign w:val="center"/>
          </w:tcPr>
          <w:p>
            <w:pPr>
              <w:tabs>
                <w:tab w:val="left" w:pos="880"/>
              </w:tabs>
              <w:autoSpaceDE w:val="0"/>
              <w:autoSpaceDN w:val="0"/>
              <w:adjustRightInd w:val="0"/>
              <w:spacing w:before="35" w:line="240"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85" w:type="dxa"/>
            <w:vAlign w:val="center"/>
          </w:tcPr>
          <w:p>
            <w:pPr>
              <w:spacing w:line="240" w:lineRule="auto"/>
              <w:jc w:val="left"/>
              <w:rPr>
                <w:rFonts w:cs="宋体" w:asciiTheme="minorEastAsia" w:hAnsiTheme="minorEastAsia"/>
                <w:kern w:val="0"/>
                <w:szCs w:val="21"/>
              </w:rPr>
            </w:pPr>
            <w:r>
              <w:rPr>
                <w:rFonts w:hint="eastAsia"/>
                <w:sz w:val="21"/>
                <w:szCs w:val="21"/>
              </w:rPr>
              <w:t>第</w:t>
            </w:r>
            <w:r>
              <w:rPr>
                <w:rFonts w:hint="eastAsia"/>
                <w:sz w:val="21"/>
                <w:szCs w:val="21"/>
                <w:lang w:val="en-US" w:eastAsia="zh-CN"/>
              </w:rPr>
              <w:t>1</w:t>
            </w:r>
            <w:r>
              <w:rPr>
                <w:rFonts w:hint="eastAsia"/>
                <w:sz w:val="21"/>
                <w:szCs w:val="21"/>
              </w:rPr>
              <w:t>次监督审核</w:t>
            </w:r>
          </w:p>
        </w:tc>
        <w:tc>
          <w:tcPr>
            <w:tcW w:w="1905" w:type="dxa"/>
            <w:vAlign w:val="center"/>
          </w:tcPr>
          <w:p>
            <w:pPr>
              <w:tabs>
                <w:tab w:val="left" w:pos="880"/>
              </w:tabs>
              <w:autoSpaceDE w:val="0"/>
              <w:autoSpaceDN w:val="0"/>
              <w:adjustRightInd w:val="0"/>
              <w:spacing w:before="35" w:line="240"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32" w:type="dxa"/>
            <w:vAlign w:val="center"/>
          </w:tcPr>
          <w:p>
            <w:pPr>
              <w:tabs>
                <w:tab w:val="left" w:pos="880"/>
              </w:tabs>
              <w:autoSpaceDE w:val="0"/>
              <w:autoSpaceDN w:val="0"/>
              <w:adjustRightInd w:val="0"/>
              <w:spacing w:before="35" w:line="240" w:lineRule="auto"/>
              <w:ind w:right="161"/>
              <w:jc w:val="center"/>
              <w:rPr>
                <w:rFonts w:cs="宋体" w:asciiTheme="minorEastAsia" w:hAnsiTheme="minorEastAsia"/>
                <w:kern w:val="0"/>
                <w:szCs w:val="21"/>
              </w:rPr>
            </w:pPr>
            <w:bookmarkStart w:id="8" w:name="审核开始日"/>
            <w:r>
              <w:rPr>
                <w:rFonts w:cs="宋体" w:asciiTheme="minorEastAsia" w:hAnsiTheme="minorEastAsia"/>
                <w:kern w:val="0"/>
                <w:szCs w:val="21"/>
              </w:rPr>
              <w:t>2022年11月10</w:t>
            </w:r>
            <w:r>
              <w:rPr>
                <w:rFonts w:hint="eastAsia" w:cs="宋体" w:asciiTheme="minorEastAsia" w:hAnsiTheme="minorEastAsia"/>
                <w:kern w:val="0"/>
                <w:szCs w:val="21"/>
                <w:lang w:val="en-US" w:eastAsia="zh-CN"/>
              </w:rPr>
              <w:t>-11</w:t>
            </w:r>
            <w:r>
              <w:rPr>
                <w:rFonts w:cs="宋体" w:asciiTheme="minorEastAsia" w:hAnsiTheme="minorEastAsia"/>
                <w:kern w:val="0"/>
                <w:szCs w:val="21"/>
              </w:rPr>
              <w:t>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98"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85"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leftChars="0" w:right="161" w:rightChars="0" w:hanging="630" w:hangingChars="300"/>
              <w:jc w:val="left"/>
              <w:rPr>
                <w:rFonts w:cs="宋体" w:asciiTheme="minorEastAsia" w:hAnsiTheme="minorEastAsia"/>
                <w:kern w:val="0"/>
                <w:szCs w:val="21"/>
              </w:rPr>
            </w:pPr>
          </w:p>
        </w:tc>
        <w:tc>
          <w:tcPr>
            <w:tcW w:w="190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32"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Times New Roman" w:hAnsi="Times New Roman" w:eastAsia="新宋体"/>
                <w:color w:val="auto"/>
                <w:szCs w:val="21"/>
                <w:lang w:eastAsia="zh-CN"/>
              </w:rPr>
              <w:t>质量保证部</w:t>
            </w:r>
            <w:r>
              <w:rPr>
                <w:rFonts w:hint="eastAsia" w:ascii="Times New Roman" w:hAnsi="Times New Roman" w:eastAsia="新宋体"/>
                <w:color w:val="auto"/>
                <w:szCs w:val="21"/>
              </w:rPr>
              <w:t>、</w:t>
            </w:r>
            <w:r>
              <w:rPr>
                <w:rFonts w:hint="eastAsia" w:ascii="Times New Roman" w:hAnsi="Times New Roman" w:eastAsia="新宋体"/>
                <w:color w:val="auto"/>
                <w:szCs w:val="21"/>
                <w:lang w:eastAsia="zh-CN"/>
              </w:rPr>
              <w:t>设计部、工艺部、生产部、销售部、物资采购部、综合办公室</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cs="宋体"/>
          <w:bCs/>
          <w:color w:val="auto"/>
          <w:kern w:val="0"/>
          <w:szCs w:val="21"/>
          <w:highlight w:val="none"/>
          <w:lang w:val="en-US" w:eastAsia="zh-CN"/>
        </w:rPr>
        <w:t>对企业</w:t>
      </w:r>
      <w:r>
        <w:rPr>
          <w:rFonts w:hint="eastAsia" w:ascii="宋体" w:hAnsi="宋体"/>
          <w:color w:val="auto"/>
          <w:kern w:val="24"/>
          <w:szCs w:val="21"/>
        </w:rPr>
        <w:t>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鞍山钢峰风机有限责任公司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远程审核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的7个职能部门，覆盖了企业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ind w:firstLine="420" w:firstLineChars="200"/>
        <w:rPr>
          <w:rFonts w:ascii="宋体" w:cs="宋体"/>
          <w:bCs/>
          <w:kern w:val="0"/>
          <w:szCs w:val="21"/>
        </w:rPr>
      </w:pP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18</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管代解军任审核组长组织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7</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19</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27</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李洋</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解军</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w:t>
      </w:r>
      <w:r>
        <w:rPr>
          <w:rFonts w:hint="eastAsia" w:ascii="宋体" w:hAnsi="宋体" w:eastAsia="宋体" w:cs="宋体"/>
          <w:b/>
          <w:bCs w:val="0"/>
          <w:color w:val="auto"/>
          <w:kern w:val="0"/>
          <w:szCs w:val="21"/>
          <w:lang w:eastAsia="zh-CN"/>
        </w:rPr>
        <w:t>的</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风机叶轮轴洗键槽宽度测量过程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风机叶轮轴洗键槽宽度测量过程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1“</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风机叶轮轴洗键槽宽度测量过程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3</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风机叶轮轴洗键槽宽度测量过程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default" w:ascii="宋体" w:hAnsi="宋体" w:eastAsia="宋体" w:cs="宋体"/>
          <w:bCs/>
          <w:color w:val="auto"/>
          <w:kern w:val="0"/>
          <w:szCs w:val="21"/>
          <w:highlight w:val="none"/>
          <w:lang w:val="en-US"/>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风机叶轮轴洗键槽宽度测量过程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附2、</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sz w:val="21"/>
          <w:szCs w:val="21"/>
          <w:highlight w:val="none"/>
          <w:lang w:val="en-US" w:eastAsia="zh-CN"/>
        </w:rPr>
        <w:t>哈尔滨永创计量检测有限公司</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L9699；</w:t>
      </w:r>
      <w:r>
        <w:rPr>
          <w:rFonts w:hint="eastAsia" w:ascii="Times New Roman" w:hAnsi="Times New Roman" w:eastAsia="宋体" w:cs="Times New Roman"/>
          <w:sz w:val="21"/>
          <w:szCs w:val="21"/>
          <w:lang w:val="en-US" w:eastAsia="zh-CN"/>
        </w:rPr>
        <w:t>，</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bookmarkStart w:id="10" w:name="_GoBack"/>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。企业能源测量设备共计</w:t>
      </w: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块，电表</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块</w:t>
      </w:r>
      <w:r>
        <w:rPr>
          <w:rFonts w:hint="eastAsia" w:ascii="Times New Roman" w:hAnsi="Times New Roman" w:cs="Times New Roman"/>
          <w:bCs/>
          <w:kern w:val="0"/>
          <w:szCs w:val="21"/>
          <w:lang w:eastAsia="zh-CN"/>
        </w:rPr>
        <w:t>、水表</w:t>
      </w:r>
      <w:r>
        <w:rPr>
          <w:rFonts w:hint="eastAsia" w:ascii="Times New Roman" w:hAnsi="Times New Roman" w:cs="Times New Roman"/>
          <w:bCs/>
          <w:kern w:val="0"/>
          <w:szCs w:val="21"/>
          <w:lang w:val="en-US" w:eastAsia="zh-CN"/>
        </w:rPr>
        <w:t>1块，</w:t>
      </w:r>
      <w:r>
        <w:rPr>
          <w:rFonts w:ascii="Times New Roman" w:hAnsi="Times New Roman" w:cs="Times New Roman"/>
          <w:bCs/>
          <w:kern w:val="0"/>
          <w:szCs w:val="21"/>
        </w:rPr>
        <w:t>主要耗能为电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20</w:t>
      </w:r>
      <w:r>
        <w:rPr>
          <w:rFonts w:hint="eastAsia" w:ascii="Times New Roman" w:hAnsi="Times New Roman" w:cs="Times New Roman"/>
          <w:bCs/>
          <w:kern w:val="0"/>
          <w:szCs w:val="21"/>
          <w:lang w:val="en-US" w:eastAsia="zh-CN"/>
        </w:rPr>
        <w:t>22</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1-10月份</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273.24</w:t>
      </w:r>
      <w:r>
        <w:rPr>
          <w:rFonts w:ascii="Times New Roman" w:hAnsi="Times New Roman" w:cs="Times New Roman"/>
          <w:bCs/>
          <w:kern w:val="0"/>
          <w:szCs w:val="21"/>
          <w:highlight w:val="none"/>
        </w:rPr>
        <w:t>吨标煤。不是重点耗能企业。能源设备配备率和检测率满足标准要求</w:t>
      </w:r>
      <w:bookmarkEnd w:id="10"/>
      <w:r>
        <w:rPr>
          <w:rFonts w:ascii="Times New Roman" w:hAnsi="Times New Roman" w:cs="Times New Roman"/>
          <w:bCs/>
          <w:kern w:val="0"/>
          <w:szCs w:val="21"/>
          <w:highlight w:val="none"/>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eastAsia="zh-CN"/>
        </w:rPr>
        <w:t>2</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宋体" w:hAnsi="宋体"/>
          <w:szCs w:val="21"/>
          <w:highlight w:val="none"/>
          <w:lang w:val="en-US" w:eastAsia="zh-CN"/>
        </w:rPr>
        <w:t>抽查工艺部：</w:t>
      </w:r>
      <w:r>
        <w:rPr>
          <w:rFonts w:hint="eastAsia" w:ascii="宋体" w:hAnsi="宋体"/>
          <w:bCs/>
          <w:color w:val="auto"/>
          <w:szCs w:val="21"/>
          <w:lang w:val="en-US" w:eastAsia="zh-CN"/>
        </w:rPr>
        <w:t>AF-ZN-GY-2019-001《叶轮铆接工艺规范》中执行的GB 90-85 《紧固件验收检查、标志与包装》未更新，新标准为GB/T 90.1-2002《紧固件 验收检查》和GB/T 90.2-2002《紧固件 标志与包装》</w:t>
      </w:r>
      <w:r>
        <w:rPr>
          <w:rFonts w:hint="eastAsia"/>
          <w:color w:val="auto"/>
          <w:szCs w:val="21"/>
          <w:lang w:eastAsia="zh-CN"/>
        </w:rPr>
        <w:t>。</w:t>
      </w:r>
      <w:r>
        <w:rPr>
          <w:rFonts w:ascii="宋体" w:hAnsi="宋体" w:cs="宋体"/>
          <w:kern w:val="0"/>
          <w:szCs w:val="21"/>
        </w:rPr>
        <w:t>不符</w:t>
      </w:r>
      <w:r>
        <w:rPr>
          <w:rFonts w:ascii="宋体" w:hAnsi="宋体" w:eastAsia="宋体" w:cs="宋体"/>
          <w:kern w:val="0"/>
          <w:szCs w:val="21"/>
        </w:rPr>
        <w:t>合</w:t>
      </w:r>
      <w:r>
        <w:rPr>
          <w:rFonts w:hint="eastAsia" w:ascii="宋体" w:hAnsi="宋体" w:cs="宋体"/>
          <w:kern w:val="0"/>
          <w:szCs w:val="21"/>
          <w:u w:val="none"/>
          <w:lang w:val="en-US" w:eastAsia="zh-CN"/>
        </w:rPr>
        <w:t xml:space="preserve"> </w:t>
      </w:r>
      <w:r>
        <w:rPr>
          <w:rFonts w:hint="eastAsia" w:ascii="宋体" w:cs="宋体"/>
          <w:color w:val="auto"/>
          <w:kern w:val="0"/>
          <w:szCs w:val="21"/>
          <w:u w:val="none"/>
          <w:lang w:val="en-US" w:eastAsia="zh-CN"/>
        </w:rPr>
        <w:t xml:space="preserve">GB/T19022-2003标准中 6.2.1条款 </w:t>
      </w:r>
      <w:r>
        <w:rPr>
          <w:rFonts w:hint="eastAsia"/>
          <w:color w:val="auto"/>
          <w:szCs w:val="21"/>
          <w:lang w:val="en-US" w:eastAsia="zh-CN"/>
        </w:rPr>
        <w:t>程序</w:t>
      </w:r>
      <w:r>
        <w:rPr>
          <w:rFonts w:hint="eastAsia" w:ascii="宋体" w:cs="宋体"/>
          <w:color w:val="auto"/>
          <w:kern w:val="0"/>
          <w:szCs w:val="21"/>
          <w:u w:val="none"/>
          <w:lang w:val="en-US" w:eastAsia="zh-CN"/>
        </w:rPr>
        <w:t>的要求</w:t>
      </w:r>
      <w:r>
        <w:rPr>
          <w:rFonts w:hint="eastAsia" w:ascii="Times New Roman" w:hAnsi="Times New Roman" w:eastAsia="宋体" w:cs="Times New Roman"/>
          <w:bCs/>
          <w:szCs w:val="21"/>
          <w:lang w:eastAsia="zh-CN"/>
        </w:rPr>
        <w:t>。”2“</w:t>
      </w:r>
      <w:r>
        <w:rPr>
          <w:rFonts w:hint="eastAsia" w:ascii="宋体" w:hAnsi="宋体"/>
          <w:color w:val="auto"/>
          <w:szCs w:val="21"/>
          <w:lang w:val="en-US" w:eastAsia="zh-CN"/>
        </w:rPr>
        <w:t>抽查</w:t>
      </w:r>
      <w:r>
        <w:rPr>
          <w:rFonts w:hint="eastAsia" w:ascii="宋体" w:hAnsi="宋体"/>
          <w:color w:val="auto"/>
          <w:szCs w:val="21"/>
          <w:lang w:eastAsia="zh-CN"/>
        </w:rPr>
        <w:t>物资采购部编号为：</w:t>
      </w:r>
      <w:r>
        <w:rPr>
          <w:rFonts w:hint="eastAsia" w:ascii="宋体" w:hAnsi="宋体"/>
          <w:color w:val="auto"/>
          <w:szCs w:val="21"/>
          <w:lang w:val="en-US" w:eastAsia="zh-CN"/>
        </w:rPr>
        <w:t xml:space="preserve">QC-7.4-01A </w:t>
      </w:r>
      <w:r>
        <w:rPr>
          <w:rFonts w:hint="eastAsia" w:ascii="宋体" w:hAnsi="宋体"/>
          <w:color w:val="auto"/>
          <w:szCs w:val="21"/>
        </w:rPr>
        <w:t>《</w:t>
      </w:r>
      <w:r>
        <w:rPr>
          <w:rFonts w:hint="eastAsia" w:ascii="宋体" w:hAnsi="宋体"/>
          <w:color w:val="auto"/>
          <w:szCs w:val="21"/>
          <w:lang w:eastAsia="zh-CN"/>
        </w:rPr>
        <w:t>物资供方评价记录表</w:t>
      </w:r>
      <w:r>
        <w:rPr>
          <w:rFonts w:hint="eastAsia" w:ascii="宋体" w:hAnsi="宋体"/>
          <w:color w:val="auto"/>
          <w:szCs w:val="21"/>
        </w:rPr>
        <w:t>》</w:t>
      </w:r>
      <w:r>
        <w:rPr>
          <w:rFonts w:hint="eastAsia" w:ascii="宋体" w:hAnsi="宋体"/>
          <w:color w:val="auto"/>
          <w:szCs w:val="21"/>
          <w:lang w:eastAsia="zh-CN"/>
        </w:rPr>
        <w:t>的内容填写不细，如机构代码、检测报告及结果等项，</w:t>
      </w:r>
      <w:r>
        <w:rPr>
          <w:rFonts w:ascii="宋体" w:hAnsi="宋体" w:cs="宋体"/>
          <w:kern w:val="0"/>
          <w:szCs w:val="21"/>
        </w:rPr>
        <w:t>不符</w:t>
      </w:r>
      <w:r>
        <w:rPr>
          <w:rFonts w:ascii="宋体" w:hAnsi="宋体" w:eastAsia="宋体" w:cs="宋体"/>
          <w:kern w:val="0"/>
          <w:szCs w:val="21"/>
        </w:rPr>
        <w:t>合</w:t>
      </w:r>
      <w:r>
        <w:rPr>
          <w:rFonts w:hint="eastAsia" w:ascii="宋体" w:hAnsi="宋体" w:cs="宋体"/>
          <w:kern w:val="0"/>
          <w:szCs w:val="21"/>
          <w:u w:val="none"/>
          <w:lang w:val="en-US" w:eastAsia="zh-CN"/>
        </w:rPr>
        <w:t xml:space="preserve"> </w:t>
      </w:r>
      <w:r>
        <w:rPr>
          <w:rFonts w:hint="eastAsia" w:ascii="宋体" w:cs="宋体"/>
          <w:color w:val="auto"/>
          <w:kern w:val="0"/>
          <w:szCs w:val="21"/>
          <w:u w:val="none"/>
          <w:lang w:val="en-US" w:eastAsia="zh-CN"/>
        </w:rPr>
        <w:t xml:space="preserve">GB/T19022-2003标准中 6.4条款 </w:t>
      </w:r>
      <w:r>
        <w:rPr>
          <w:rFonts w:hint="eastAsia" w:ascii="宋体" w:hAnsi="宋体"/>
          <w:szCs w:val="21"/>
        </w:rPr>
        <w:t>外部供方</w:t>
      </w:r>
      <w:r>
        <w:rPr>
          <w:rFonts w:hint="eastAsia" w:ascii="宋体" w:cs="宋体"/>
          <w:color w:val="auto"/>
          <w:kern w:val="0"/>
          <w:szCs w:val="21"/>
          <w:u w:val="none"/>
          <w:lang w:val="en-US" w:eastAsia="zh-CN"/>
        </w:rPr>
        <w:t>的要求</w:t>
      </w:r>
      <w:r>
        <w:rPr>
          <w:rFonts w:hint="eastAsia" w:ascii="Times New Roman" w:hAnsi="Times New Roman" w:eastAsia="宋体" w:cs="Times New Roman"/>
          <w:bCs/>
          <w:szCs w:val="21"/>
          <w:lang w:val="en-US" w:eastAsia="zh-CN"/>
        </w:rPr>
        <w:t>”。</w:t>
      </w:r>
      <w:r>
        <w:rPr>
          <w:rFonts w:hint="eastAsia" w:ascii="宋体" w:hAnsi="宋体" w:eastAsia="宋体" w:cs="宋体"/>
          <w:b w:val="0"/>
          <w:bCs/>
          <w:color w:val="auto"/>
          <w:kern w:val="0"/>
          <w:sz w:val="21"/>
          <w:szCs w:val="21"/>
        </w:rPr>
        <w:t>通过对整改完成情况及纠正措施有效性进行查验，确认公司上次审核中确定的</w:t>
      </w:r>
      <w:r>
        <w:rPr>
          <w:rFonts w:hint="eastAsia" w:ascii="宋体" w:hAnsi="宋体" w:eastAsia="宋体" w:cs="宋体"/>
          <w:b w:val="0"/>
          <w:bCs/>
          <w:color w:val="auto"/>
          <w:kern w:val="0"/>
          <w:sz w:val="21"/>
          <w:szCs w:val="21"/>
          <w:lang w:eastAsia="zh-CN"/>
        </w:rPr>
        <w:t>2</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设计、生产</w:t>
      </w:r>
      <w:r>
        <w:rPr>
          <w:rFonts w:hint="eastAsia"/>
          <w:b/>
          <w:bCs/>
          <w:color w:val="auto"/>
          <w:highlight w:val="none"/>
          <w:lang w:eastAsia="zh-CN"/>
        </w:rPr>
        <w:t>过程</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szCs w:val="21"/>
        </w:rPr>
        <w:t>产品</w:t>
      </w:r>
      <w:r>
        <w:rPr>
          <w:rFonts w:hint="eastAsia"/>
          <w:szCs w:val="21"/>
          <w:lang w:eastAsia="zh-CN"/>
        </w:rPr>
        <w:t>“</w:t>
      </w:r>
      <w:r>
        <w:rPr>
          <w:color w:val="000000"/>
          <w:szCs w:val="21"/>
        </w:rPr>
        <w:t>工业用离心式风机、动静叶可调轴流风机、罗茨鼓风机、单多级高速鼓风机的设计、生产</w:t>
      </w:r>
      <w:r>
        <w:rPr>
          <w:rFonts w:hint="eastAsia"/>
          <w:color w:val="000000"/>
          <w:szCs w:val="21"/>
          <w:lang w:eastAsia="zh-CN"/>
        </w:rPr>
        <w:t>”</w:t>
      </w:r>
      <w:r>
        <w:rPr>
          <w:rFonts w:hint="eastAsia" w:ascii="Times New Roman" w:hAnsi="Times New Roman" w:eastAsia="宋体" w:cs="Times New Roman"/>
          <w:b w:val="0"/>
          <w:bCs w:val="0"/>
          <w:color w:val="auto"/>
          <w:sz w:val="21"/>
          <w:szCs w:val="21"/>
          <w:highlight w:val="none"/>
          <w:u w:val="none"/>
          <w:lang w:val="en-US" w:eastAsia="zh-CN"/>
        </w:rPr>
        <w:t>等</w:t>
      </w:r>
      <w:r>
        <w:rPr>
          <w:color w:val="auto"/>
          <w:sz w:val="21"/>
          <w:szCs w:val="21"/>
          <w:highlight w:val="none"/>
          <w:u w:val="none"/>
        </w:rPr>
        <w:t>产品</w:t>
      </w:r>
      <w:r>
        <w:rPr>
          <w:rFonts w:hint="eastAsia"/>
          <w:color w:val="auto"/>
          <w:sz w:val="21"/>
          <w:szCs w:val="21"/>
          <w:highlight w:val="none"/>
          <w:u w:val="none"/>
          <w:lang w:eastAsia="zh-CN"/>
        </w:rPr>
        <w:t>加工中的测量过程所依据的检验标准、检验方法、使用的测量设备均符合标准要求。企业</w:t>
      </w:r>
      <w:r>
        <w:rPr>
          <w:rFonts w:hint="eastAsia" w:ascii="宋体" w:hAnsi="宋体" w:cs="宋体"/>
          <w:bCs/>
          <w:color w:val="auto"/>
          <w:kern w:val="0"/>
          <w:sz w:val="21"/>
          <w:szCs w:val="21"/>
          <w:highlight w:val="none"/>
          <w:u w:val="none"/>
        </w:rPr>
        <w:t>目前</w:t>
      </w:r>
      <w:r>
        <w:rPr>
          <w:color w:val="auto"/>
          <w:sz w:val="21"/>
          <w:szCs w:val="21"/>
          <w:highlight w:val="none"/>
          <w:u w:val="none"/>
        </w:rPr>
        <w:t>产品质量较好，未有顾客投诉。顾客</w:t>
      </w:r>
      <w:r>
        <w:rPr>
          <w:rFonts w:hint="eastAsia"/>
          <w:color w:val="auto"/>
          <w:sz w:val="21"/>
          <w:szCs w:val="21"/>
          <w:highlight w:val="none"/>
          <w:u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2021年10-12月和2022年1-10月，7</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ascii="Times New Roman" w:hAnsi="Times New Roman" w:cs="Times New Roman"/>
          <w:b/>
          <w:bCs/>
          <w:kern w:val="0"/>
          <w:szCs w:val="21"/>
          <w:highlight w:val="none"/>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w:t>
      </w:r>
      <w:r>
        <w:rPr>
          <w:rFonts w:hint="eastAsia" w:ascii="宋体" w:hAnsi="宋体" w:eastAsia="宋体" w:cs="宋体"/>
          <w:bCs/>
          <w:color w:val="auto"/>
          <w:kern w:val="0"/>
          <w:szCs w:val="21"/>
          <w:highlight w:val="none"/>
          <w:lang w:val="en-US" w:eastAsia="zh-CN"/>
        </w:rPr>
        <w:t>2021.12.23）变更</w:t>
      </w:r>
      <w:r>
        <w:rPr>
          <w:rFonts w:hint="eastAsia" w:ascii="宋体" w:hAnsi="宋体"/>
          <w:sz w:val="21"/>
          <w:szCs w:val="21"/>
          <w:lang w:eastAsia="zh-CN"/>
        </w:rPr>
        <w:t>。附：（工商核验证明），企业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国内冶金、石化等行业环保方面等项目的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ind w:firstLine="420" w:firstLineChars="200"/>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ascii="宋体" w:hAnsi="宋体" w:cs="宋体"/>
          <w:kern w:val="0"/>
          <w:szCs w:val="21"/>
          <w:lang w:val="en-US" w:eastAsia="zh-CN"/>
        </w:rPr>
        <w:t>质量保证部</w:t>
      </w:r>
      <w:r>
        <w:rPr>
          <w:rFonts w:hint="eastAsia" w:hAnsi="宋体" w:cs="宋体"/>
          <w:kern w:val="0"/>
          <w:szCs w:val="21"/>
        </w:rPr>
        <w:t>提供《</w:t>
      </w:r>
      <w:r>
        <w:rPr>
          <w:rFonts w:hint="eastAsia" w:hAnsi="宋体" w:cs="宋体"/>
          <w:kern w:val="0"/>
          <w:szCs w:val="21"/>
          <w:lang w:eastAsia="zh-CN"/>
        </w:rPr>
        <w:t>传动组装配质量检验控制卡</w:t>
      </w:r>
      <w:r>
        <w:rPr>
          <w:rFonts w:hint="eastAsia" w:hAnsi="宋体" w:cs="宋体"/>
          <w:kern w:val="0"/>
          <w:szCs w:val="21"/>
        </w:rPr>
        <w:t>》记录中，</w:t>
      </w:r>
      <w:r>
        <w:rPr>
          <w:rFonts w:hint="eastAsia" w:hAnsi="宋体" w:cs="宋体"/>
          <w:kern w:val="0"/>
          <w:szCs w:val="21"/>
          <w:lang w:eastAsia="zh-CN"/>
        </w:rPr>
        <w:t>检验时间：</w:t>
      </w:r>
      <w:r>
        <w:rPr>
          <w:rFonts w:hint="eastAsia" w:hAnsi="宋体" w:cs="宋体"/>
          <w:kern w:val="0"/>
          <w:szCs w:val="21"/>
          <w:lang w:val="en-US" w:eastAsia="zh-CN"/>
        </w:rPr>
        <w:t>2022.08.09</w:t>
      </w:r>
      <w:r>
        <w:rPr>
          <w:rFonts w:hint="eastAsia" w:hAnsi="宋体" w:cs="宋体"/>
          <w:kern w:val="0"/>
          <w:szCs w:val="21"/>
        </w:rPr>
        <w:t>没有</w:t>
      </w:r>
      <w:r>
        <w:rPr>
          <w:rFonts w:hint="eastAsia" w:hAnsi="宋体" w:cs="宋体"/>
          <w:kern w:val="0"/>
          <w:szCs w:val="21"/>
          <w:lang w:eastAsia="zh-CN"/>
        </w:rPr>
        <w:t>表述检验所依据标准等信息</w:t>
      </w:r>
      <w:r>
        <w:rPr>
          <w:rFonts w:hint="eastAsia" w:hAnsi="宋体" w:cs="宋体"/>
          <w:kern w:val="0"/>
          <w:szCs w:val="21"/>
        </w:rPr>
        <w:t>。不符合GB/T19022-2003标准中7.2.4条款 测量过程</w:t>
      </w:r>
      <w:r>
        <w:rPr>
          <w:rFonts w:hint="eastAsia" w:hAnsi="宋体" w:cs="宋体"/>
          <w:kern w:val="0"/>
          <w:szCs w:val="21"/>
          <w:lang w:eastAsia="zh-CN"/>
        </w:rPr>
        <w:t>的</w:t>
      </w:r>
      <w:r>
        <w:rPr>
          <w:rFonts w:hint="eastAsia" w:hAnsi="宋体" w:cs="宋体"/>
          <w:kern w:val="0"/>
          <w:szCs w:val="21"/>
        </w:rPr>
        <w:t>记录的规定要求。</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10-11日上午</w:t>
      </w:r>
      <w:r>
        <w:rPr>
          <w:rFonts w:hint="eastAsia" w:ascii="宋体" w:hAnsi="宋体" w:cs="宋体"/>
          <w:bCs/>
          <w:color w:val="auto"/>
          <w:kern w:val="0"/>
          <w:szCs w:val="21"/>
        </w:rPr>
        <w:t>，</w:t>
      </w:r>
      <w:r>
        <w:rPr>
          <w:rFonts w:hint="eastAsia" w:ascii="宋体" w:hAnsi="宋体" w:cs="宋体"/>
          <w:bCs/>
          <w:color w:val="auto"/>
          <w:kern w:val="0"/>
          <w:szCs w:val="21"/>
          <w:lang w:eastAsia="zh-CN"/>
        </w:rPr>
        <w:t>鞍山钢峰风机有限责任公司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val="en-US" w:eastAsia="zh-CN"/>
        </w:rPr>
        <w:t>远程</w:t>
      </w:r>
      <w:r>
        <w:rPr>
          <w:rFonts w:hint="eastAsia" w:ascii="宋体" w:hAnsi="宋体" w:cs="宋体"/>
          <w:bCs/>
          <w:color w:val="auto"/>
          <w:kern w:val="0"/>
          <w:szCs w:val="21"/>
        </w:rPr>
        <w:t>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鞍山钢峰风机有限责任公司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1"/>
        </w:numPr>
        <w:spacing w:line="360" w:lineRule="auto"/>
        <w:rPr>
          <w:rFonts w:hint="eastAsia" w:ascii="宋体" w:hAnsi="宋体" w:eastAsia="宋体" w:cs="宋体"/>
          <w:bCs/>
          <w:color w:val="auto"/>
          <w:kern w:val="0"/>
          <w:szCs w:val="21"/>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，并上传会议远程截图.及审核过程中部分截图资料。</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2022.11.11</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4DD0025"/>
    <w:rsid w:val="0F1A25F2"/>
    <w:rsid w:val="2C06480C"/>
    <w:rsid w:val="342653A7"/>
    <w:rsid w:val="35AF43C3"/>
    <w:rsid w:val="3ACC3B1F"/>
    <w:rsid w:val="44D70F7A"/>
    <w:rsid w:val="4CA26BF2"/>
    <w:rsid w:val="51270F1B"/>
    <w:rsid w:val="56723306"/>
    <w:rsid w:val="65741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3158</Words>
  <Characters>3546</Characters>
  <Lines>15</Lines>
  <Paragraphs>4</Paragraphs>
  <TotalTime>7</TotalTime>
  <ScaleCrop>false</ScaleCrop>
  <LinksUpToDate>false</LinksUpToDate>
  <CharactersWithSpaces>3625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2022-11-11T03:41:32Z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CFCB4205EE26460B82EFAB7821E8DCBF</vt:lpwstr>
  </property>
</Properties>
</file>