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hint="eastAsia" w:ascii="宋体" w:hAnsi="宋体" w:eastAsiaTheme="minorEastAsia"/>
          <w:sz w:val="24"/>
          <w:u w:val="single"/>
          <w:lang w:val="en-US" w:eastAsia="zh-CN"/>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精嘉阀门集团有限公司</w:t>
      </w:r>
      <w:bookmarkEnd w:id="1"/>
    </w:p>
    <w:p>
      <w:pPr>
        <w:spacing w:line="360" w:lineRule="auto"/>
        <w:jc w:val="left"/>
        <w:rPr>
          <w:rFonts w:hint="default" w:ascii="宋体" w:hAnsi="宋体" w:eastAsiaTheme="minorEastAsia"/>
          <w:b/>
          <w:bCs/>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b/>
          <w:bCs/>
          <w:sz w:val="32"/>
          <w:u w:val="single"/>
        </w:rPr>
        <w:t>1237-2021-2022</w:t>
      </w:r>
      <w:bookmarkEnd w:id="2"/>
      <w:r>
        <w:rPr>
          <w:rFonts w:hint="eastAsia" w:ascii="宋体" w:hAnsi="宋体"/>
          <w:b/>
          <w:bCs/>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1237-2021-2022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精嘉阀门集团有限公司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匡士标</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ISC-2021-1195</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2026-12-21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2022年11月28日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color w:val="000000"/>
                <w:szCs w:val="21"/>
              </w:rPr>
            </w:pPr>
            <w:r>
              <w:rPr>
                <w:color w:val="000000"/>
                <w:szCs w:val="21"/>
              </w:rPr>
              <w:t>黄金荣</w:t>
            </w:r>
          </w:p>
          <w:p>
            <w:pPr>
              <w:numPr>
                <w:ilvl w:val="0"/>
                <w:numId w:val="1"/>
              </w:numPr>
              <w:tabs>
                <w:tab w:val="left" w:pos="880"/>
              </w:tabs>
              <w:autoSpaceDE w:val="0"/>
              <w:autoSpaceDN w:val="0"/>
              <w:adjustRightInd w:val="0"/>
              <w:spacing w:before="35" w:line="276" w:lineRule="auto"/>
              <w:ind w:right="161"/>
              <w:rPr>
                <w:color w:val="000000"/>
                <w:szCs w:val="21"/>
                <w:shd w:val="clear" w:color="auto" w:fill="auto"/>
              </w:rPr>
            </w:pPr>
            <w:r>
              <w:rPr>
                <w:color w:val="000000"/>
                <w:szCs w:val="21"/>
                <w:shd w:val="clear" w:color="auto" w:fill="auto"/>
              </w:rPr>
              <w:t>M1MMS-2227641</w:t>
            </w:r>
          </w:p>
          <w:p>
            <w:pPr>
              <w:numPr>
                <w:ilvl w:val="0"/>
                <w:numId w:val="0"/>
              </w:numPr>
              <w:tabs>
                <w:tab w:val="left" w:pos="880"/>
              </w:tabs>
              <w:autoSpaceDE w:val="0"/>
              <w:autoSpaceDN w:val="0"/>
              <w:adjustRightInd w:val="0"/>
              <w:spacing w:before="35" w:line="276" w:lineRule="auto"/>
              <w:ind w:right="161" w:rightChars="0"/>
              <w:rPr>
                <w:color w:val="000000"/>
                <w:szCs w:val="21"/>
                <w:shd w:val="clear" w:color="auto" w:fill="auto"/>
              </w:rPr>
            </w:pPr>
            <w:r>
              <w:rPr>
                <w:color w:val="000000"/>
                <w:szCs w:val="21"/>
              </w:rPr>
              <w:t>ISC[S]0062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olor w:val="auto"/>
                <w:szCs w:val="21"/>
                <w:lang w:val="en-US" w:eastAsia="zh-CN"/>
              </w:rPr>
              <w:t>管理层/管理者代表、质保部、生产部（车间）、销售部、采购部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1.一年内违反法律法规或重大事故的情况：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2.1公司于2022年7月6日组织了公司测量管理体系内审，内审分2个组，对公司6个部门和车间进行了审核，共开出了1个不符合项，到目前为止不符合项已全部完成整改。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企业于2022年8月5日开展了测量管理体系管理评审，会议由公司总经理金宗林主持，由管理者代表汇报了测量体系运行情况。相关部门汇报了本部门分管的测量体系相关工作。会议肯定了公司测量管理体系的充分性、有效性和适宜性。形成了管理评审报告。</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闸阀阀杆直径尺寸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a)计量要求的导出和验证：查闸阀阀杆直径尺寸测量过程，计量要求导出方法正确，验证满足测量过程要求。祥见附件《计量要求导出及验证记录表》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b)测量不确定评定：查闸阀阀杆直径尺寸测量过程，测量不确定度评定方法正确。祥见附件《测量不确定度评定》</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c)有效性确认：查闸阀阀杆直径尺寸测量过程有效性确认，满足要求。祥见附件《测量过程有效性确认》</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d)测量过程的控制：查闸阀阀杆直径尺寸测量过程，编制了控制规范，对测量人员、测量设备、测量环境进行控制，满足要求。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e)测量过程的监视：查闸阀阀杆直径尺寸测量过程，按照控制规范规定的频次进行监视。祥见《测量过程监视记录》</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质保部负责组织委外检定/校准。公司测量设备委托上海市计量测试技术研究院、上海市嘉定区食品药品检验检测中心检定/校准。抽查6台测量设备检定/校准证书，溯源满足要求。祥见《测量设备溯源检查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bookmarkStart w:id="11" w:name="_GoBack"/>
      <w:bookmarkEnd w:id="11"/>
      <w:r>
        <w:rPr>
          <w:rFonts w:hint="eastAsia" w:ascii="宋体" w:hAnsi="宋体" w:eastAsia="宋体" w:cs="宋体"/>
          <w:bCs/>
          <w:color w:val="auto"/>
          <w:kern w:val="0"/>
          <w:sz w:val="24"/>
          <w:szCs w:val="24"/>
          <w:lang w:val="en-US" w:eastAsia="zh-CN"/>
        </w:rPr>
        <w:t>4.能源管理情况：企业主要消耗电能、水。2022年1月至10月消耗电量113280kWh，水4147t，企业不是重点能耗单位。</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5.对认证审核时提出的的不符合项的纠正措施情况：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 xml:space="preserve">5.1 去年初次审核发现2个不符合项。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企业制定了纠正预防措施，组织了整改，经验证2个不符合项已整改完成，同意关闭2个不符合项。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制定了5项质量目标，目标可测量，公司编制了《质量目标年度分解计划》对质量目标进行了分解，。查《2022年测量管理体系质量目标完成报告》:2022年1月至10月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营业执照没有变更。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10.本次审核未发现一般不符合项 ，未发现严重或系统性的不符合情况。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11月28日，对精嘉阀门集团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精嘉阀门集团有限公司测量管理体系，符合GB/T 19022-2003标准要求，对体系运行具有持续的有效性、符合性予以肯定。建议报请北京国标联合认证有限公司批准通过监督审核。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0000FF"/>
          <w:kern w:val="0"/>
          <w:sz w:val="24"/>
          <w:szCs w:val="24"/>
          <w:lang w:val="en-US" w:eastAsia="zh-CN"/>
        </w:rPr>
      </w:pPr>
      <w:r>
        <w:rPr>
          <w:rFonts w:hint="eastAsia" w:ascii="宋体" w:hAnsi="宋体" w:eastAsia="宋体" w:cs="宋体"/>
          <w:bCs/>
          <w:color w:val="0000FF"/>
          <w:kern w:val="0"/>
          <w:sz w:val="24"/>
          <w:szCs w:val="24"/>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drawing>
          <wp:anchor distT="0" distB="0" distL="114300" distR="114300" simplePos="0" relativeHeight="251668480" behindDoc="0" locked="0" layoutInCell="1" allowOverlap="1">
            <wp:simplePos x="0" y="0"/>
            <wp:positionH relativeFrom="column">
              <wp:posOffset>1701800</wp:posOffset>
            </wp:positionH>
            <wp:positionV relativeFrom="paragraph">
              <wp:posOffset>-50800</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hint="default" w:ascii="宋体" w:hAnsi="宋体" w:eastAsia="宋体" w:cs="宋体"/>
          <w:bCs/>
          <w:color w:val="auto"/>
          <w:kern w:val="0"/>
          <w:sz w:val="24"/>
          <w:szCs w:val="24"/>
          <w:lang w:val="en-US" w:eastAsia="zh-CN"/>
        </w:rPr>
        <w:t>审核组组长（签字）：</w:t>
      </w:r>
      <w:r>
        <w:rPr>
          <w:rFonts w:hint="eastAsia" w:ascii="宋体" w:hAnsi="宋体" w:eastAsia="宋体" w:cs="宋体"/>
          <w:bCs/>
          <w:color w:val="auto"/>
          <w:kern w:val="0"/>
          <w:sz w:val="24"/>
          <w:szCs w:val="24"/>
          <w:lang w:val="en-US" w:eastAsia="zh-CN"/>
        </w:rPr>
        <w:t xml:space="preserve">                     </w:t>
      </w:r>
      <w:r>
        <w:rPr>
          <w:rFonts w:hint="default" w:ascii="宋体" w:hAnsi="宋体" w:eastAsia="宋体" w:cs="宋体"/>
          <w:bCs/>
          <w:color w:val="auto"/>
          <w:kern w:val="0"/>
          <w:sz w:val="24"/>
          <w:szCs w:val="24"/>
          <w:lang w:val="en-US" w:eastAsia="zh-CN"/>
        </w:rPr>
        <w:t>日</w:t>
      </w:r>
      <w:r>
        <w:rPr>
          <w:rFonts w:hint="eastAsia" w:ascii="宋体" w:hAnsi="宋体" w:eastAsia="宋体" w:cs="宋体"/>
          <w:bCs/>
          <w:color w:val="auto"/>
          <w:kern w:val="0"/>
          <w:sz w:val="24"/>
          <w:szCs w:val="24"/>
          <w:lang w:val="en-US" w:eastAsia="zh-CN"/>
        </w:rPr>
        <w:t xml:space="preserve"> </w:t>
      </w:r>
      <w:r>
        <w:rPr>
          <w:rFonts w:hint="default" w:ascii="宋体" w:hAnsi="宋体" w:eastAsia="宋体" w:cs="宋体"/>
          <w:bCs/>
          <w:color w:val="auto"/>
          <w:kern w:val="0"/>
          <w:sz w:val="24"/>
          <w:szCs w:val="24"/>
          <w:lang w:val="en-US" w:eastAsia="zh-CN"/>
        </w:rPr>
        <w:t>期：</w:t>
      </w:r>
      <w:r>
        <w:rPr>
          <w:rFonts w:hint="eastAsia" w:ascii="宋体" w:hAnsi="宋体" w:eastAsia="宋体" w:cs="宋体"/>
          <w:bCs/>
          <w:color w:val="auto"/>
          <w:kern w:val="0"/>
          <w:sz w:val="24"/>
          <w:szCs w:val="24"/>
          <w:lang w:val="en-US" w:eastAsia="zh-CN"/>
        </w:rPr>
        <w:t>2022年11月28日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default" w:ascii="宋体" w:hAnsi="宋体" w:eastAsia="宋体" w:cs="宋体"/>
          <w:bCs/>
          <w:color w:val="auto"/>
          <w:kern w:val="0"/>
          <w:sz w:val="24"/>
          <w:szCs w:val="24"/>
          <w:lang w:val="en-US" w:eastAsia="zh-CN"/>
        </w:rPr>
        <w:t>审核</w:t>
      </w:r>
      <w:r>
        <w:rPr>
          <w:rFonts w:hint="eastAsia" w:ascii="宋体" w:hAnsi="宋体" w:eastAsia="宋体" w:cs="宋体"/>
          <w:bCs/>
          <w:color w:val="auto"/>
          <w:kern w:val="0"/>
          <w:sz w:val="24"/>
          <w:szCs w:val="24"/>
          <w:lang w:val="en-US" w:eastAsia="zh-CN"/>
        </w:rPr>
        <w:t>组成员(</w:t>
      </w:r>
      <w:r>
        <w:rPr>
          <w:rFonts w:hint="default" w:ascii="宋体" w:hAnsi="宋体" w:eastAsia="宋体" w:cs="宋体"/>
          <w:bCs/>
          <w:color w:val="auto"/>
          <w:kern w:val="0"/>
          <w:sz w:val="24"/>
          <w:szCs w:val="24"/>
          <w:lang w:val="en-US" w:eastAsia="zh-CN"/>
        </w:rPr>
        <w:t>签字</w:t>
      </w:r>
      <w:r>
        <w:rPr>
          <w:rFonts w:hint="eastAsia" w:ascii="宋体" w:hAnsi="宋体" w:eastAsia="宋体" w:cs="宋体"/>
          <w:bCs/>
          <w:color w:val="auto"/>
          <w:kern w:val="0"/>
          <w:sz w:val="24"/>
          <w:szCs w:val="24"/>
          <w:lang w:val="en-US" w:eastAsia="zh-CN"/>
        </w:rPr>
        <w:t>)</w:t>
      </w:r>
      <w:r>
        <w:rPr>
          <w:rFonts w:hint="default" w:ascii="宋体" w:hAnsi="宋体" w:eastAsia="宋体" w:cs="宋体"/>
          <w:bCs/>
          <w:color w:val="auto"/>
          <w:kern w:val="0"/>
          <w:sz w:val="24"/>
          <w:szCs w:val="24"/>
          <w:lang w:val="en-US" w:eastAsia="zh-CN"/>
        </w:rPr>
        <w:t>：</w:t>
      </w:r>
      <w:r>
        <w:rPr>
          <w:rFonts w:hint="eastAsia" w:ascii="宋体" w:hAnsi="宋体" w:eastAsia="宋体" w:cs="宋体"/>
          <w:bCs/>
          <w:color w:val="auto"/>
          <w:kern w:val="0"/>
          <w:sz w:val="24"/>
          <w:szCs w:val="24"/>
          <w:lang w:val="en-US" w:eastAsia="zh-CN"/>
        </w:rPr>
        <w:t xml:space="preserve">                 /      </w:t>
      </w:r>
      <w:r>
        <w:rPr>
          <w:rFonts w:hint="default" w:ascii="宋体" w:hAnsi="宋体" w:eastAsia="宋体" w:cs="宋体"/>
          <w:bCs/>
          <w:color w:val="auto"/>
          <w:kern w:val="0"/>
          <w:sz w:val="24"/>
          <w:szCs w:val="24"/>
          <w:lang w:val="en-US" w:eastAsia="zh-CN"/>
        </w:rPr>
        <w:t>日</w:t>
      </w:r>
      <w:r>
        <w:rPr>
          <w:rFonts w:hint="eastAsia" w:ascii="宋体" w:hAnsi="宋体" w:eastAsia="宋体" w:cs="宋体"/>
          <w:bCs/>
          <w:color w:val="auto"/>
          <w:kern w:val="0"/>
          <w:sz w:val="24"/>
          <w:szCs w:val="24"/>
          <w:lang w:val="en-US" w:eastAsia="zh-CN"/>
        </w:rPr>
        <w:t xml:space="preserve"> </w:t>
      </w:r>
      <w:r>
        <w:rPr>
          <w:rFonts w:hint="default" w:ascii="宋体" w:hAnsi="宋体" w:eastAsia="宋体" w:cs="宋体"/>
          <w:bCs/>
          <w:color w:val="auto"/>
          <w:kern w:val="0"/>
          <w:sz w:val="24"/>
          <w:szCs w:val="24"/>
          <w:lang w:val="en-US" w:eastAsia="zh-CN"/>
        </w:rPr>
        <w:t>期：</w:t>
      </w:r>
      <w:r>
        <w:rPr>
          <w:rFonts w:hint="eastAsia" w:ascii="宋体" w:hAnsi="宋体" w:eastAsia="宋体" w:cs="宋体"/>
          <w:bCs/>
          <w:color w:val="auto"/>
          <w:kern w:val="0"/>
          <w:sz w:val="24"/>
          <w:szCs w:val="24"/>
          <w:lang w:val="en-US" w:eastAsia="zh-CN"/>
        </w:rPr>
        <w:t xml:space="preserve">   年   月   日</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北京国标联合认证有限公司(盖章)            日 期：</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AE222"/>
    <w:multiLevelType w:val="singleLevel"/>
    <w:tmpl w:val="134AE222"/>
    <w:lvl w:ilvl="0" w:tentative="0">
      <w:start w:val="202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C26139"/>
    <w:rsid w:val="0F603299"/>
    <w:rsid w:val="18952E43"/>
    <w:rsid w:val="2CF861BF"/>
    <w:rsid w:val="2D1B0446"/>
    <w:rsid w:val="3D4B46AE"/>
    <w:rsid w:val="42DA4353"/>
    <w:rsid w:val="465264EA"/>
    <w:rsid w:val="4742456C"/>
    <w:rsid w:val="47B66FBC"/>
    <w:rsid w:val="52C662DC"/>
    <w:rsid w:val="660E26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2022-11-28T13:07:41Z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