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3630" cy="8778240"/>
            <wp:effectExtent l="0" t="0" r="1270" b="10160"/>
            <wp:docPr id="1" name="图片 1" descr="92397d46b9ed6cef000b34c95c76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397d46b9ed6cef000b34c95c76c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90"/>
        <w:gridCol w:w="226"/>
        <w:gridCol w:w="355"/>
        <w:gridCol w:w="300"/>
        <w:gridCol w:w="149"/>
        <w:gridCol w:w="441"/>
        <w:gridCol w:w="709"/>
        <w:gridCol w:w="492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河北巨神泵业有限公司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安国市石佛水泵工业区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安国市石佛水泵工业区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1164-2022-EO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刘亚彬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0312-3585555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1251881888@qq.com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刘亚彬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0312-3585555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E：离心泵的生产所涉及场所的相关环境管理活动</w:t>
            </w:r>
          </w:p>
          <w:p>
            <w:r>
              <w:t>O：离心泵的生产 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E：18.01.02</w:t>
            </w:r>
          </w:p>
          <w:p>
            <w:r>
              <w:t>O：18.01.02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  <w:lang w:eastAsia="zh-CN"/>
              </w:rPr>
              <w:t>JS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</w:rPr>
              <w:t>/QES</w:t>
            </w:r>
            <w:r>
              <w:rPr>
                <w:rFonts w:ascii="宋体" w:hAnsi="宋体"/>
                <w:b/>
                <w:bCs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22</w:t>
            </w:r>
            <w:r>
              <w:rPr>
                <w:rFonts w:ascii="宋体" w:hAnsi="宋体"/>
                <w:b/>
                <w:bCs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年月日 上午至年月日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3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2021-N1OHSMS-3024421</w:t>
            </w:r>
          </w:p>
        </w:tc>
        <w:tc>
          <w:tcPr>
            <w:tcW w:w="103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103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O:18.01.02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09" w:type="dxa"/>
            <w:gridSpan w:val="3"/>
            <w:vAlign w:val="center"/>
          </w:tcPr>
          <w:p/>
        </w:tc>
        <w:tc>
          <w:tcPr>
            <w:tcW w:w="1030" w:type="dxa"/>
            <w:gridSpan w:val="4"/>
            <w:vAlign w:val="center"/>
          </w:tcPr>
          <w:p/>
        </w:tc>
        <w:tc>
          <w:tcPr>
            <w:tcW w:w="1150" w:type="dxa"/>
            <w:gridSpan w:val="2"/>
            <w:vAlign w:val="center"/>
          </w:tcPr>
          <w:p/>
        </w:tc>
        <w:tc>
          <w:tcPr>
            <w:tcW w:w="123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5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39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04" w:type="dxa"/>
            <w:gridSpan w:val="3"/>
            <w:vAlign w:val="center"/>
          </w:tcPr>
          <w:p/>
        </w:tc>
        <w:tc>
          <w:tcPr>
            <w:tcW w:w="1150" w:type="dxa"/>
            <w:gridSpan w:val="2"/>
            <w:vAlign w:val="center"/>
          </w:tcPr>
          <w:p/>
        </w:tc>
        <w:tc>
          <w:tcPr>
            <w:tcW w:w="123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04" w:type="dxa"/>
            <w:gridSpan w:val="3"/>
            <w:vAlign w:val="center"/>
          </w:tcPr>
          <w:p/>
        </w:tc>
        <w:tc>
          <w:tcPr>
            <w:tcW w:w="1150" w:type="dxa"/>
            <w:gridSpan w:val="2"/>
            <w:vAlign w:val="center"/>
          </w:tcPr>
          <w:p/>
        </w:tc>
        <w:tc>
          <w:tcPr>
            <w:tcW w:w="123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范玲玲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15931236416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2022.11.7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2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首次会议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远程微信视频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审核组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审核员A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（远程微信视频、文件传输）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审核员A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（远程微信视频、文件传输）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-管理手册；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-文件化的程序；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-作业文件；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审核员A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（远程微信视频、文件传输）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对多场所/临时场所建立的控制的水平（适用时）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审核员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（远程微信视频、文件传输）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0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 查看地理位置图、污水管网图（适用时）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-了解主要资源和能源使用种类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 查看环境因素的识别和评价程序合理性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 了解重要环境因素的和控制措施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-查看合规性证明（98年后新扩建的环评验收、环境监测报告）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-了解危险化学品的种类及MSDS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-了解危险废弃物的处置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-了解应急准备和响应情况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专业审核员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B（远程微信视频、文件传输）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9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0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  <w:t>EMS场所巡查: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专业审核员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B（远程微信视频、文件传输）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0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-查看危险源的辨识和评价程序合理性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-了解重要危险源的辨识和控制措施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-了解三级安全教育的实施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-了解职业病体检的情况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-了解危险化学品的种类及MSDS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 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专业审核员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B（远程微信视频、文件传输）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9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0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10:00-11</w:t>
            </w:r>
            <w:bookmarkStart w:id="31" w:name="_GoBack"/>
            <w:bookmarkEnd w:id="31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  <w:t>OHSMS场所巡查: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专业审核员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B（远程微信视频、文件传输）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末次会议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远程微信视频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2AAD4728"/>
    <w:rsid w:val="4E7642AD"/>
    <w:rsid w:val="4FE84F61"/>
    <w:rsid w:val="6B3F1D58"/>
    <w:rsid w:val="74B52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3179</Words>
  <Characters>3674</Characters>
  <Lines>26</Lines>
  <Paragraphs>7</Paragraphs>
  <TotalTime>2</TotalTime>
  <ScaleCrop>false</ScaleCrop>
  <LinksUpToDate>false</LinksUpToDate>
  <CharactersWithSpaces>3740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2019-03-27T03:10:00Z</cp:lastPrinted>
  <dcterms:modified xsi:type="dcterms:W3CDTF">2022-11-08T01:57:54Z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