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过程与活动、</w:t>
            </w:r>
          </w:p>
          <w:p>
            <w:pPr>
              <w:bidi w:val="0"/>
            </w:pPr>
            <w:r>
              <w:rPr>
                <w:rFonts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涉及</w:t>
            </w:r>
          </w:p>
          <w:p>
            <w:pPr>
              <w:bidi w:val="0"/>
            </w:pPr>
            <w:r>
              <w:rPr>
                <w:rFonts w:hint="eastAsia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受审核部门：</w:t>
            </w:r>
            <w:r>
              <w:rPr>
                <w:rFonts w:hint="eastAsia"/>
                <w:lang w:val="en-US" w:eastAsia="zh-CN"/>
              </w:rPr>
              <w:t>技术部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 xml:space="preserve">  主管领导/</w:t>
            </w:r>
            <w:r>
              <w:rPr>
                <w:rFonts w:hint="eastAsia"/>
              </w:rPr>
              <w:t>陪同人员</w:t>
            </w:r>
            <w:r>
              <w:rPr>
                <w:rFonts w:hint="eastAsia"/>
                <w:lang w:val="en-US" w:eastAsia="zh-CN"/>
              </w:rPr>
              <w:t>：杨瑞雪/沈国锦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</w:pPr>
          </w:p>
        </w:tc>
        <w:tc>
          <w:tcPr>
            <w:tcW w:w="10004" w:type="dxa"/>
            <w:gridSpan w:val="2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  <w:lang w:val="en-US" w:eastAsia="zh-CN"/>
              </w:rPr>
              <w:t xml:space="preserve">王献华、夏包喜（提供技术支持） 审核时间：2022.12.6 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</w:pPr>
          </w:p>
        </w:tc>
        <w:tc>
          <w:tcPr>
            <w:tcW w:w="100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/>
              </w:rPr>
              <w:t>审核条款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ISO 45001：2018</w:t>
            </w:r>
            <w:r>
              <w:rPr>
                <w:rFonts w:hint="eastAsia" w:ascii="宋体" w:hAnsi="宋体" w:cs="新宋体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60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岗位职责、权限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Autospacing="0" w:afterAutospacing="0"/>
              <w:ind w:left="0" w:right="0"/>
              <w:jc w:val="both"/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EO5.3</w:t>
            </w:r>
          </w:p>
        </w:tc>
        <w:tc>
          <w:tcPr>
            <w:tcW w:w="745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</w:rPr>
              <w:t>文件名称</w:t>
            </w:r>
          </w:p>
        </w:tc>
        <w:tc>
          <w:tcPr>
            <w:tcW w:w="9259" w:type="dxa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14" w:beforeAutospacing="0" w:afterAutospacing="0" w:line="374" w:lineRule="exact"/>
              <w:ind w:left="0" w:leftChars="0" w:right="0" w:rightChars="0"/>
              <w:rPr>
                <w:rFonts w:hint="default"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2"/>
              </w:rPr>
              <w:fldChar w:fldCharType="begin"/>
            </w:r>
            <w:r>
              <w:rPr>
                <w:rFonts w:hint="eastAsia" w:ascii="宋体" w:hAnsi="宋体"/>
                <w:szCs w:val="22"/>
              </w:rPr>
              <w:instrText xml:space="preserve"> eq \o\ac(□</w:instrText>
            </w:r>
            <w:r>
              <w:rPr>
                <w:rFonts w:hint="eastAsia" w:ascii="宋体" w:hAnsi="宋体"/>
                <w:szCs w:val="22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2"/>
                <w:sz w:val="13"/>
                <w:szCs w:val="22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Cs w:val="22"/>
              </w:rPr>
              <w:instrText xml:space="preserve">)</w:instrText>
            </w:r>
            <w:r>
              <w:rPr>
                <w:rFonts w:hint="eastAsia" w:ascii="宋体" w:hAnsi="宋体"/>
                <w:szCs w:val="22"/>
              </w:rPr>
              <w:fldChar w:fldCharType="end"/>
            </w:r>
            <w:r>
              <w:rPr>
                <w:rFonts w:hint="eastAsia"/>
                <w:spacing w:val="-1"/>
                <w:szCs w:val="22"/>
                <w:highlight w:val="none"/>
                <w:lang w:val="en-US" w:eastAsia="zh-CN"/>
              </w:rPr>
              <w:t>管理手册5.3条款及其附录</w:t>
            </w:r>
          </w:p>
        </w:tc>
        <w:tc>
          <w:tcPr>
            <w:tcW w:w="1585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fldChar w:fldCharType="begin"/>
            </w:r>
            <w:r>
              <w:rPr>
                <w:rFonts w:hint="eastAsia" w:ascii="宋体" w:hAnsi="宋体"/>
                <w:szCs w:val="22"/>
              </w:rPr>
              <w:instrText xml:space="preserve"> eq \o\ac(□,√)</w:instrText>
            </w:r>
            <w:r>
              <w:rPr>
                <w:rFonts w:hint="eastAsia" w:ascii="宋体" w:hAnsi="宋体"/>
                <w:szCs w:val="22"/>
              </w:rPr>
              <w:fldChar w:fldCharType="end"/>
            </w:r>
            <w:r>
              <w:rPr>
                <w:rFonts w:hint="eastAsia" w:ascii="宋体" w:hAnsi="宋体"/>
                <w:szCs w:val="22"/>
              </w:rPr>
              <w:t>符合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</w:rPr>
              <w:sym w:font="Wingdings" w:char="00A8"/>
            </w:r>
            <w:r>
              <w:rPr>
                <w:rFonts w:hint="eastAsia"/>
                <w:szCs w:val="22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部门ES一体化职责与权限：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a) 负责产品生产过程中的环境因素和危险源的识别和评价，控制产品的环境因素和危险源；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b) 负责本部门工作有关的法律法规和其他要求的获取和评价；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c) 负责产品及工艺中的环境因素和危险源的识别和评价，在设计中从生命周期的角度出发，控制产品的环境因素和危险源；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。</w:t>
            </w: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环境因素和危险源识别、确定及其控制</w:t>
            </w: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EO6.1.2</w:t>
            </w:r>
          </w:p>
        </w:tc>
        <w:tc>
          <w:tcPr>
            <w:tcW w:w="745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管理手册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《环境因素危险源的识别及评价控制程序》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《环境因素识别评价表》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《危险源调查和评价表》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《重要环境因素控制清单》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>《重要危险源清单》</w:t>
            </w:r>
          </w:p>
        </w:tc>
        <w:tc>
          <w:tcPr>
            <w:tcW w:w="1585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fldChar w:fldCharType="begin"/>
            </w:r>
            <w:r>
              <w:rPr>
                <w:rFonts w:hint="eastAsia" w:ascii="宋体" w:hAnsi="宋体"/>
                <w:szCs w:val="22"/>
              </w:rPr>
              <w:instrText xml:space="preserve"> eq \o\ac(□,√)</w:instrText>
            </w:r>
            <w:r>
              <w:rPr>
                <w:rFonts w:hint="eastAsia" w:ascii="宋体" w:hAnsi="宋体"/>
                <w:szCs w:val="22"/>
              </w:rPr>
              <w:fldChar w:fldCharType="end"/>
            </w:r>
            <w:r>
              <w:rPr>
                <w:rFonts w:hint="eastAsia" w:ascii="宋体" w:hAnsi="宋体"/>
                <w:szCs w:val="22"/>
              </w:rPr>
              <w:t>符合</w:t>
            </w:r>
          </w:p>
          <w:p>
            <w:pPr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Cs w:val="22"/>
              </w:rPr>
              <w:sym w:font="Wingdings" w:char="00A8"/>
            </w:r>
            <w:r>
              <w:rPr>
                <w:rFonts w:hint="eastAsia"/>
                <w:szCs w:val="22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745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评价重要环境因素和重要危险源的准则：L</w:t>
            </w:r>
            <w:r>
              <w:rPr>
                <w:rFonts w:hint="eastAsia"/>
                <w:lang w:val="en-US" w:eastAsia="zh-CN"/>
              </w:rPr>
              <w:t>E</w:t>
            </w:r>
            <w:r>
              <w:rPr>
                <w:rFonts w:hint="eastAsia" w:ascii="Times New Roman" w:hAnsi="Times New Roman"/>
                <w:lang w:val="en-US" w:eastAsia="zh-CN"/>
              </w:rPr>
              <w:t>C法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与部门职责相关的主要环境因素及其控制措施是：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1"/>
              <w:gridCol w:w="2350"/>
              <w:gridCol w:w="42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主要环境因素</w:t>
                  </w:r>
                </w:p>
              </w:tc>
              <w:tc>
                <w:tcPr>
                  <w:tcW w:w="2350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状态</w:t>
                  </w:r>
                </w:p>
              </w:tc>
              <w:tc>
                <w:tcPr>
                  <w:tcW w:w="4238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固废排放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GB" w:eastAsia="zh-CN"/>
                    </w:rPr>
                  </w:pP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>紧急</w:t>
                  </w:r>
                </w:p>
              </w:tc>
              <w:tc>
                <w:tcPr>
                  <w:tcW w:w="42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/>
                      <w:lang w:val="en-US" w:eastAsia="zh-CN"/>
                    </w:rPr>
                    <w:t>由环卫部门收集统一处理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废水排放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2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经废水处理设施处理达到纳管标准后纳管排放，再经污水处理站处理达标排放。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61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发生火灾</w:t>
                  </w:r>
                </w:p>
              </w:tc>
              <w:tc>
                <w:tcPr>
                  <w:tcW w:w="2350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正常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异常 </w:t>
                  </w:r>
                  <w:r>
                    <w:rPr>
                      <w:rFonts w:hint="default" w:ascii="Times New Roman" w:hAnsi="Times New Roman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 w:ascii="Times New Roman" w:hAnsi="Times New Roman"/>
                      <w:lang w:val="en-US" w:eastAsia="zh-CN"/>
                    </w:rPr>
                    <w:t xml:space="preserve">紧急   </w:t>
                  </w:r>
                </w:p>
              </w:tc>
              <w:tc>
                <w:tcPr>
                  <w:tcW w:w="4238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应急预案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与部门职责相关的主要危险源及其控制措施是：</w:t>
            </w:r>
          </w:p>
          <w:tbl>
            <w:tblPr>
              <w:tblStyle w:val="9"/>
              <w:tblW w:w="815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75"/>
              <w:gridCol w:w="2214"/>
              <w:gridCol w:w="2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75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2214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职业健康安全风险</w:t>
                  </w:r>
                </w:p>
              </w:tc>
              <w:tc>
                <w:tcPr>
                  <w:tcW w:w="2470" w:type="dxa"/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75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eastAsia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办公区域设施（空调、电脑、打印机、复印机、饮水机、照明灯等）漏电、电线短路、老化破损。</w:t>
                  </w:r>
                </w:p>
              </w:tc>
              <w:tc>
                <w:tcPr>
                  <w:tcW w:w="2214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/>
                    <w:jc w:val="both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Times New Roman" w:hAnsi="Times New Roman"/>
                      <w:lang w:val="en-US" w:eastAsia="zh-CN"/>
                    </w:rPr>
                    <w:t>火灾、触电</w:t>
                  </w:r>
                </w:p>
              </w:tc>
              <w:tc>
                <w:tcPr>
                  <w:tcW w:w="2470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ind w:left="-8" w:leftChars="-4" w:firstLine="8" w:firstLineChars="4"/>
                    <w:rPr>
                      <w:rFonts w:hint="default" w:ascii="Times New Roman" w:hAnsi="Times New Roman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加强用电安全、加强员工安全培训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建立消防通道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/>
                      <w:color w:val="000000"/>
                      <w:szCs w:val="21"/>
                    </w:rPr>
                    <w:t>规范使用电器及正常维护电器设施；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lang w:val="en-US" w:eastAsia="zh-CN"/>
              </w:rPr>
            </w:pP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目标</w:t>
            </w:r>
          </w:p>
          <w:p/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color w:val="000000"/>
                <w:szCs w:val="21"/>
                <w:lang w:val="en-US" w:eastAsia="zh-CN"/>
              </w:rPr>
              <w:t>EO6.2 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手册6.2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2021-2022年质量、环境、安全目标分解表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 w:cs="宋体"/>
              </w:rPr>
              <w:t>部门目标：</w:t>
            </w: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 w:cs="宋体"/>
              </w:rPr>
              <w:t>考核情况</w:t>
            </w:r>
          </w:p>
          <w:p>
            <w:r>
              <w:rPr>
                <w:rFonts w:hint="eastAsia"/>
              </w:rPr>
              <w:t>各类废弃物按规定分类处置率100%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100%</w:t>
            </w:r>
          </w:p>
          <w:p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t>火灾事故为</w:t>
            </w:r>
            <w:r>
              <w:t>0</w:t>
            </w:r>
            <w:r>
              <w:rPr>
                <w:rFonts w:hint="eastAsia" w:cs="宋体"/>
              </w:rPr>
              <w:t>；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0</w:t>
            </w:r>
          </w:p>
          <w:p>
            <w:r>
              <w:rPr>
                <w:rFonts w:hint="eastAsia"/>
              </w:rPr>
              <w:t>重大安全事故发生率为0</w:t>
            </w:r>
            <w: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0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</w:rPr>
              <w:t>每</w:t>
            </w:r>
            <w:r>
              <w:rPr>
                <w:rFonts w:hint="eastAsia" w:cs="宋体"/>
                <w:lang w:val="en-US" w:eastAsia="zh-CN"/>
              </w:rPr>
              <w:t>季度</w:t>
            </w:r>
            <w:r>
              <w:rPr>
                <w:rFonts w:hint="eastAsia" w:cs="宋体"/>
              </w:rPr>
              <w:t xml:space="preserve">进行一次考核，目标基本实现。考核人：沈国锦2022-09-05 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t>•</w:t>
            </w:r>
            <w:r>
              <w:rPr>
                <w:rFonts w:hint="eastAsia" w:cs="宋体"/>
              </w:rPr>
              <w:t>安全目标指标：职业病发生率0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管理方案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：加强对员工防火意识教育，严禁在禁止吸烟处吸烟；各种用电设备和线路应符合国家有关安全规定，应有可熔保险和漏电保护，绝缘性能必须良好，并有可靠的接地零保护措施等；每年按规定进行员工体检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。</w:t>
            </w:r>
          </w:p>
          <w:p>
            <w:r>
              <w:rPr>
                <w:rFonts w:hint="eastAsia" w:cs="宋体"/>
                <w:highlight w:val="none"/>
              </w:rPr>
              <w:t>每季度组织一次对目标、指标管理方案进行程度、完成情况的考核，提供安全目标、指标考核记录</w:t>
            </w:r>
            <w:r>
              <w:rPr>
                <w:rFonts w:hint="eastAsia" w:cs="宋体"/>
              </w:rPr>
              <w:t>，</w:t>
            </w:r>
            <w: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 w:cs="宋体"/>
              </w:rPr>
              <w:t>年</w:t>
            </w:r>
            <w:r>
              <w:rPr>
                <w:rFonts w:hint="eastAsia" w:cs="宋体"/>
                <w:lang w:val="en-US" w:eastAsia="zh-CN"/>
              </w:rPr>
              <w:t>1-3</w:t>
            </w:r>
            <w:r>
              <w:rPr>
                <w:rFonts w:hint="eastAsia" w:cs="宋体"/>
              </w:rPr>
              <w:t>季度的目标、指标管理方案完成情况考核，达到了阶段性的目标要求。制定的指标和管理方案基本可行。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运行控制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960" w:type="dxa"/>
            <w:vMerge w:val="restar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rPr>
                <w:rFonts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</w:p>
          <w:p/>
        </w:tc>
        <w:tc>
          <w:tcPr>
            <w:tcW w:w="7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设计和开发控制程序</w:t>
            </w:r>
            <w:r>
              <w:rPr>
                <w:rFonts w:hint="eastAsia"/>
                <w:lang w:eastAsia="zh-CN"/>
              </w:rPr>
              <w:t>》、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</w:t>
            </w:r>
            <w:bookmarkStart w:id="0" w:name="_Hlk7299559"/>
            <w:r>
              <w:rPr>
                <w:rFonts w:hint="eastAsia"/>
                <w:lang w:val="en-US" w:eastAsia="zh-CN"/>
              </w:rPr>
              <w:t>运行控制程序</w:t>
            </w:r>
            <w:bookmarkEnd w:id="0"/>
            <w:r>
              <w:rPr>
                <w:rFonts w:hint="eastAsia"/>
                <w:lang w:val="en-US" w:eastAsia="zh-CN"/>
              </w:rPr>
              <w:t>》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环境因素危险源的识别及评价控制程序</w:t>
            </w:r>
            <w:r>
              <w:rPr>
                <w:rFonts w:hint="eastAsia"/>
                <w:lang w:val="en-US" w:eastAsia="zh-CN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目前进行设计开发项目的性质：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新产品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新服务项目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技术改进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设计开发的主体：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 xml:space="preserve">自主开发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外包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购买新技术  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抽取设计开发项目</w:t>
            </w:r>
          </w:p>
          <w:tbl>
            <w:tblPr>
              <w:tblStyle w:val="10"/>
              <w:tblW w:w="9111" w:type="dxa"/>
              <w:tblInd w:w="-6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09"/>
              <w:gridCol w:w="4459"/>
              <w:gridCol w:w="184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内容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环境、安全考虑简述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 xml:space="preserve">TS21 探索家V2.1  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设计开发的性质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 xml:space="preserve">新产品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 xml:space="preserve">新服务项目 </w:t>
                  </w:r>
                  <w:r>
                    <w:rPr>
                      <w:rFonts w:hint="eastAsia"/>
                      <w:lang w:val="en-US" w:eastAsia="zh-CN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技术改进</w:t>
                  </w:r>
                </w:p>
              </w:tc>
              <w:tc>
                <w:tcPr>
                  <w:tcW w:w="1843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使用原材料的考虑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考虑原材料采用污染小，可回收的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资源和能源的充分性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u w:val="none"/>
                      <w:lang w:val="en-US" w:eastAsia="zh-CN"/>
                    </w:rPr>
                  </w:pPr>
                  <w:r>
                    <w:rPr>
                      <w:rFonts w:hint="eastAsia"/>
                      <w:u w:val="none"/>
                      <w:lang w:val="en-US" w:eastAsia="zh-CN"/>
                    </w:rPr>
                    <w:t>消防备案和三同时的充分性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生产过程中使用危化品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2809" w:type="dxa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生产过程中产生废弃物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生产过程中能源的消耗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产品对环保的要求RoHS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目前未要求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工艺、加工方法的安全性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已考虑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  <w:vAlign w:val="top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特种设备使用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无变化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09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成品的MSDS制订☑充分 □不充分5555。、</w:t>
                  </w:r>
                </w:p>
              </w:tc>
              <w:tc>
                <w:tcPr>
                  <w:tcW w:w="4459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无要求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☑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 xml:space="preserve">充分 </w:t>
                  </w:r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不充分</w:t>
                  </w:r>
                </w:p>
              </w:tc>
            </w:tr>
          </w:tbl>
          <w:p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变更的内容：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原材料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设备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技术要求（工艺）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交付方式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 xml:space="preserve">包装形式 □新产品、服务和过程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法律法规要求和其他要求  □有关环境因素、危险源及其相应风险的变更  □知识和技术发展  </w:t>
            </w:r>
            <w:r>
              <w:rPr>
                <w:rFonts w:hint="eastAsia"/>
                <w:lang w:val="en-US" w:eastAsia="zh-CN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未发生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变更的原因：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>顾客</w:t>
            </w:r>
            <w:r>
              <w:rPr>
                <w:rFonts w:hint="eastAsia"/>
                <w:lang w:val="en-US" w:eastAsia="zh-CN"/>
              </w:rPr>
              <w:t xml:space="preserve">需求变化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原材料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lang w:val="en-US" w:eastAsia="zh-CN"/>
              </w:rPr>
              <w:t xml:space="preserve">货不足   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法律</w:t>
            </w:r>
            <w:r>
              <w:rPr>
                <w:rFonts w:hint="eastAsia"/>
                <w:lang w:val="en-US" w:eastAsia="zh-CN"/>
              </w:rPr>
              <w:t xml:space="preserve">法规限制   </w:t>
            </w:r>
            <w:r>
              <w:rPr>
                <w:rFonts w:hint="eastAsia"/>
                <w:lang w:val="en-US" w:eastAsia="zh-CN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抽取变更相关记录名称：</w:t>
            </w:r>
            <w:r>
              <w:rPr>
                <w:rFonts w:hint="eastAsia"/>
                <w:u w:val="single"/>
                <w:lang w:val="en-US" w:eastAsia="zh-CN"/>
              </w:rPr>
              <w:t>无</w:t>
            </w:r>
          </w:p>
          <w:p>
            <w:pPr>
              <w:pStyle w:val="3"/>
              <w:ind w:left="0" w:leftChars="0" w:firstLine="0" w:firstLineChars="0"/>
              <w:rPr>
                <w:rFonts w:hint="eastAsia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■</w:t>
            </w:r>
            <w:r>
              <w:rPr>
                <w:rFonts w:hint="eastAsia"/>
                <w:szCs w:val="21"/>
                <w:lang w:val="en-US" w:eastAsia="zh-CN"/>
              </w:rPr>
              <w:t>办公情况的环境和安全检查同办公室。</w:t>
            </w:r>
          </w:p>
          <w:p>
            <w:pPr>
              <w:rPr>
                <w:rFonts w:hint="eastAsia" w:ascii="Times New Roman" w:hAnsi="Times New Roman" w:eastAsia="华文细黑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■</w:t>
            </w:r>
            <w:r>
              <w:rPr>
                <w:rFonts w:hint="eastAsia"/>
                <w:szCs w:val="21"/>
                <w:lang w:val="en-US" w:eastAsia="zh-CN"/>
              </w:rPr>
              <w:t>人员外出交通及疫情健康安全要求：遵守交通法规、配合外出地疫情防控要求、加强人员自身防护等。</w:t>
            </w:r>
            <w:bookmarkEnd w:id="2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应急准备和响应</w:t>
            </w:r>
          </w:p>
        </w:tc>
        <w:tc>
          <w:tcPr>
            <w:tcW w:w="960" w:type="dxa"/>
            <w:vMerge w:val="restart"/>
            <w:vAlign w:val="top"/>
          </w:tcPr>
          <w:p>
            <w:r>
              <w:rPr>
                <w:rFonts w:hint="eastAsia"/>
                <w:lang w:val="en-US" w:eastAsia="zh-CN"/>
              </w:rPr>
              <w:t>EO</w:t>
            </w:r>
            <w:r>
              <w:rPr>
                <w:rFonts w:hint="eastAsia"/>
              </w:rPr>
              <w:t>8.2</w:t>
            </w:r>
          </w:p>
        </w:tc>
        <w:tc>
          <w:tcPr>
            <w:tcW w:w="745" w:type="dxa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手册8.2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《</w:t>
            </w:r>
            <w:bookmarkStart w:id="1" w:name="_Hlk7299624"/>
            <w:r>
              <w:rPr>
                <w:rFonts w:hint="eastAsia"/>
                <w:lang w:val="en-US" w:eastAsia="zh-CN"/>
              </w:rPr>
              <w:t>应急响应管理程序</w:t>
            </w:r>
            <w:bookmarkEnd w:id="1"/>
            <w:r>
              <w:rPr>
                <w:rFonts w:hint="eastAsia"/>
                <w:lang w:val="en-US" w:eastAsia="zh-CN"/>
              </w:rPr>
              <w:t>》</w:t>
            </w:r>
            <w:r>
              <w:rPr>
                <w:rFonts w:hint="eastAsia"/>
                <w:lang w:val="en-US" w:eastAsia="zh-CN"/>
              </w:rPr>
              <w:sym w:font="Wingdings 2" w:char="0052"/>
            </w:r>
            <w:r>
              <w:rPr>
                <w:rFonts w:hint="eastAsia"/>
                <w:lang w:val="en-US" w:eastAsia="zh-CN"/>
              </w:rPr>
              <w:t>相关的《应急预案》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  <w:vAlign w:val="top"/>
          </w:tcPr>
          <w:p/>
        </w:tc>
        <w:tc>
          <w:tcPr>
            <w:tcW w:w="960" w:type="dxa"/>
            <w:vMerge w:val="continue"/>
            <w:vAlign w:val="top"/>
          </w:tcPr>
          <w:p/>
        </w:tc>
        <w:tc>
          <w:tcPr>
            <w:tcW w:w="745" w:type="dxa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部门是否发生环境、职业健康安全方面的应急的情况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未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已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发生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eastAsia="华文细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本部门是否发生环境、职业健康安全方面的应急演练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FE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参加公司组织的应急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； </w:t>
            </w:r>
          </w:p>
          <w:p>
            <w:pP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sym w:font="Wingdings" w:char="00A8"/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本部门组织的专项应急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演练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 xml:space="preserve"> ，说明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 xml:space="preserve">                      </w:t>
            </w:r>
          </w:p>
          <w:p>
            <w:pPr>
              <w:rPr>
                <w:rFonts w:hint="eastAsia" w:ascii="华文细黑" w:hAnsi="华文细黑" w:eastAsia="华文细黑" w:cs="华文细黑"/>
                <w:kern w:val="2"/>
                <w:sz w:val="21"/>
                <w:u w:val="single"/>
                <w:lang w:val="en-US" w:eastAsia="zh-CN" w:bidi="ar-SA"/>
              </w:rPr>
            </w:pP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紧急情况发生：</w:t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sym w:font="Wingdings 2" w:char="0052"/>
            </w:r>
            <w:r>
              <w:rPr>
                <w:rFonts w:hint="eastAsia" w:ascii="华文细黑" w:hAnsi="华文细黑" w:eastAsia="华文细黑" w:cs="华文细黑"/>
                <w:lang w:val="en-US" w:eastAsia="zh-CN"/>
              </w:rPr>
              <w:t>无 □有</w:t>
            </w:r>
            <w:r>
              <w:rPr>
                <w:rFonts w:hint="eastAsia" w:ascii="华文细黑" w:hAnsi="华文细黑" w:cs="华文细黑"/>
                <w:lang w:val="en-US" w:eastAsia="zh-CN"/>
              </w:rPr>
              <w:t>；</w:t>
            </w:r>
            <w:r>
              <w:rPr>
                <w:rFonts w:hint="eastAsia" w:cs="Times New Roman"/>
                <w:kern w:val="2"/>
                <w:sz w:val="21"/>
                <w:u w:val="single"/>
                <w:lang w:val="en-US" w:eastAsia="zh-CN" w:bidi="ar-SA"/>
              </w:rPr>
              <w:t>具体演练内容见办公室记录；</w:t>
            </w:r>
          </w:p>
          <w:p/>
        </w:tc>
        <w:tc>
          <w:tcPr>
            <w:tcW w:w="1585" w:type="dxa"/>
            <w:vMerge w:val="continue"/>
          </w:tcPr>
          <w:p/>
        </w:tc>
      </w:tr>
    </w:tbl>
    <w:p/>
    <w:p>
      <w:pPr>
        <w:pStyle w:val="6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33020</wp:posOffset>
          </wp:positionV>
          <wp:extent cx="481330" cy="484505"/>
          <wp:effectExtent l="0" t="0" r="1270" b="1079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" o:spid="_x0000_s4098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NRv0G8qAgAAPgQAAA4AAABkcnMvZTJvRG9jLnhtbK1TzY7T&#10;MBC+I/EOlu80bdQuS9R0tbQqQlp+pIUHcBwnsUg8Zuw2WR4A3oATF+48V5+DsdMtZbnsgRwij2fm&#10;m/m+GS+vhq5le4VOg8n5bDLlTBkJpTZ1zj9+2D675Mx5YUrRglE5v1OOX62ePln2NlMpNNCWChmB&#10;GJf1NueN9zZLEicb1Qk3AasMOSvATngysU5KFD2hd22STqcXSQ9YWgSpnKPbzejkR0R8DCBUlZZq&#10;A3LXKeNHVFSt8ETJNdo6vordVpWS/l1VOeVZm3Ni6uOfitC5CP9ktRRZjcI2Wh5bEI9p4QGnTmhD&#10;RU9QG+EF26H+B6rTEsFB5ScSumQkEhUhFrPpA21uG2FV5EJSO3sS3f0/WPl2/x6ZLnOecmZERwM/&#10;fP92+PHr8PMrmwV5eusyirq1FOeHlzDQ0kSqzt6A/OSYgXUjTK2uEaFvlCipvZiZnKWOOC6AFP0b&#10;KKmO2HmIQEOFXdCO1GCETqO5O41GDZ5Jukxnl/P5lFySfOniYjGPs0tEdp9t0flXCjoWDjlHGn1E&#10;F/sb54kHhd6HhGIOWl1uddtGA+ti3SLbC1qTbfwCdUr5K6w1IdhASBvd4SbSDMxGjn4ohqNsBZR3&#10;RBhhXDt6dHRoAL9w1tPK5dx93glUnLWvDYn2YkYUaUejMV88T8nAc09x7hFGElTOPWfjce3Hvd5Z&#10;1HVDlcYxGbgmoSsdNQgTGbs69k1rFXken0DY23M7Rv159q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Qaq5dYAAAAKAQAADwAAAAAAAAABACAAAAAiAAAAZHJzL2Rvd25yZXYueG1sUEsBAhQAFAAA&#10;AAgAh07iQNRv0G8qAgAAPgQAAA4AAAAAAAAAAQAgAAAAJQEAAGRycy9lMm9Eb2MueG1sUEsFBgAA&#10;AAAGAAYAWQEAAMEFAAAAAA==&#10;">
          <v:path/>
          <v:fill on="t" focussize="0,0"/>
          <v:stroke on="f"/>
          <v:imagedata o:title=""/>
          <o:lock v:ext="edit" aspectratio="f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I-12管理体系审核记录表(0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8201E"/>
    <w:rsid w:val="00536930"/>
    <w:rsid w:val="00564E53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48246F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2332AF"/>
    <w:rsid w:val="044125D6"/>
    <w:rsid w:val="04883DB3"/>
    <w:rsid w:val="04981EC9"/>
    <w:rsid w:val="04C420B7"/>
    <w:rsid w:val="050D3D1E"/>
    <w:rsid w:val="05422E8D"/>
    <w:rsid w:val="055A369D"/>
    <w:rsid w:val="056577F0"/>
    <w:rsid w:val="05705C5F"/>
    <w:rsid w:val="059C20C3"/>
    <w:rsid w:val="05A05014"/>
    <w:rsid w:val="05AE43C7"/>
    <w:rsid w:val="05F6270F"/>
    <w:rsid w:val="0605101B"/>
    <w:rsid w:val="06120F24"/>
    <w:rsid w:val="0618393F"/>
    <w:rsid w:val="061B4460"/>
    <w:rsid w:val="063D57B6"/>
    <w:rsid w:val="067B702D"/>
    <w:rsid w:val="06994A8D"/>
    <w:rsid w:val="06AA7E97"/>
    <w:rsid w:val="06ED612A"/>
    <w:rsid w:val="0700448C"/>
    <w:rsid w:val="07B3140E"/>
    <w:rsid w:val="07C13D29"/>
    <w:rsid w:val="07CD377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E09EE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8538B0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2005A9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60654C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24AC9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B42B9"/>
    <w:rsid w:val="1D4D4A00"/>
    <w:rsid w:val="1D6D0123"/>
    <w:rsid w:val="1D77549B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3F31AC"/>
    <w:rsid w:val="21670294"/>
    <w:rsid w:val="21713385"/>
    <w:rsid w:val="21A07B88"/>
    <w:rsid w:val="21A34258"/>
    <w:rsid w:val="21D24208"/>
    <w:rsid w:val="226B2F60"/>
    <w:rsid w:val="22813299"/>
    <w:rsid w:val="229F2D1A"/>
    <w:rsid w:val="23363714"/>
    <w:rsid w:val="23461CA8"/>
    <w:rsid w:val="238A1BAA"/>
    <w:rsid w:val="23900E62"/>
    <w:rsid w:val="23BF3886"/>
    <w:rsid w:val="241A6B34"/>
    <w:rsid w:val="24285E2F"/>
    <w:rsid w:val="242A7B69"/>
    <w:rsid w:val="243417E3"/>
    <w:rsid w:val="24553A74"/>
    <w:rsid w:val="246A25EE"/>
    <w:rsid w:val="247622DE"/>
    <w:rsid w:val="2480482A"/>
    <w:rsid w:val="2483299C"/>
    <w:rsid w:val="24950DD7"/>
    <w:rsid w:val="24A05D8E"/>
    <w:rsid w:val="24DC3F73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9572F8"/>
    <w:rsid w:val="27AE0926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AC43C7"/>
    <w:rsid w:val="2AC8327F"/>
    <w:rsid w:val="2AD3142C"/>
    <w:rsid w:val="2B0D2F04"/>
    <w:rsid w:val="2B142BB5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151562"/>
    <w:rsid w:val="2F7C571D"/>
    <w:rsid w:val="2FA86B66"/>
    <w:rsid w:val="2FE823A5"/>
    <w:rsid w:val="2FEA1C57"/>
    <w:rsid w:val="2FFC4F4F"/>
    <w:rsid w:val="300172B8"/>
    <w:rsid w:val="30284CE9"/>
    <w:rsid w:val="309119F7"/>
    <w:rsid w:val="30945277"/>
    <w:rsid w:val="30C1548B"/>
    <w:rsid w:val="30C36ECA"/>
    <w:rsid w:val="30C71DD4"/>
    <w:rsid w:val="30DC7CB1"/>
    <w:rsid w:val="30ED30CC"/>
    <w:rsid w:val="31064141"/>
    <w:rsid w:val="31450434"/>
    <w:rsid w:val="31B477DB"/>
    <w:rsid w:val="31B67BE2"/>
    <w:rsid w:val="31CA71DD"/>
    <w:rsid w:val="32341738"/>
    <w:rsid w:val="324E5138"/>
    <w:rsid w:val="325E1B93"/>
    <w:rsid w:val="32802193"/>
    <w:rsid w:val="32D06D58"/>
    <w:rsid w:val="331E21CE"/>
    <w:rsid w:val="332B6F8B"/>
    <w:rsid w:val="332D071E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B35051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D55494"/>
    <w:rsid w:val="3CED4B6C"/>
    <w:rsid w:val="3D073283"/>
    <w:rsid w:val="3DAB460B"/>
    <w:rsid w:val="3DDA7DB2"/>
    <w:rsid w:val="3E342793"/>
    <w:rsid w:val="3E3C5235"/>
    <w:rsid w:val="3EA34B57"/>
    <w:rsid w:val="3EEF1E6E"/>
    <w:rsid w:val="3F283AEB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97DB4"/>
    <w:rsid w:val="433B1167"/>
    <w:rsid w:val="4352128B"/>
    <w:rsid w:val="435F500F"/>
    <w:rsid w:val="43C730CD"/>
    <w:rsid w:val="44350F69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757D56"/>
    <w:rsid w:val="48ED577E"/>
    <w:rsid w:val="495D1E4B"/>
    <w:rsid w:val="49912790"/>
    <w:rsid w:val="49B54134"/>
    <w:rsid w:val="49C0281D"/>
    <w:rsid w:val="49E3211A"/>
    <w:rsid w:val="49E449BF"/>
    <w:rsid w:val="49EC77B8"/>
    <w:rsid w:val="49ED5B1C"/>
    <w:rsid w:val="4A594559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1965D2"/>
    <w:rsid w:val="4C204239"/>
    <w:rsid w:val="4C247C80"/>
    <w:rsid w:val="4CA74E41"/>
    <w:rsid w:val="4CA91B51"/>
    <w:rsid w:val="4CB62537"/>
    <w:rsid w:val="4CD2365B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ED403DE"/>
    <w:rsid w:val="4F594843"/>
    <w:rsid w:val="4F88590D"/>
    <w:rsid w:val="50106568"/>
    <w:rsid w:val="503C3BCC"/>
    <w:rsid w:val="50C41CF1"/>
    <w:rsid w:val="51217DA6"/>
    <w:rsid w:val="51294703"/>
    <w:rsid w:val="51425A27"/>
    <w:rsid w:val="5158757E"/>
    <w:rsid w:val="516B417E"/>
    <w:rsid w:val="521A5D1E"/>
    <w:rsid w:val="523624DE"/>
    <w:rsid w:val="526B2302"/>
    <w:rsid w:val="52735F79"/>
    <w:rsid w:val="52A23F56"/>
    <w:rsid w:val="52BA5471"/>
    <w:rsid w:val="52CC19B1"/>
    <w:rsid w:val="52D871F4"/>
    <w:rsid w:val="52EF4B5B"/>
    <w:rsid w:val="52F263D6"/>
    <w:rsid w:val="53024EB7"/>
    <w:rsid w:val="531F2139"/>
    <w:rsid w:val="53261795"/>
    <w:rsid w:val="534F62F7"/>
    <w:rsid w:val="53660E02"/>
    <w:rsid w:val="536F60C1"/>
    <w:rsid w:val="53953BE7"/>
    <w:rsid w:val="53CE5C2B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6D57BC4"/>
    <w:rsid w:val="57004A1D"/>
    <w:rsid w:val="570A6E63"/>
    <w:rsid w:val="573B0118"/>
    <w:rsid w:val="573D2268"/>
    <w:rsid w:val="57411925"/>
    <w:rsid w:val="57441E32"/>
    <w:rsid w:val="57535542"/>
    <w:rsid w:val="575B3098"/>
    <w:rsid w:val="5792573C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9FD7B5D"/>
    <w:rsid w:val="5A1C59A1"/>
    <w:rsid w:val="5A407674"/>
    <w:rsid w:val="5A432974"/>
    <w:rsid w:val="5A67161C"/>
    <w:rsid w:val="5A6A20C5"/>
    <w:rsid w:val="5A7D0C9E"/>
    <w:rsid w:val="5ACE03C8"/>
    <w:rsid w:val="5AD64AF2"/>
    <w:rsid w:val="5AF377C8"/>
    <w:rsid w:val="5B0449BC"/>
    <w:rsid w:val="5B513157"/>
    <w:rsid w:val="5B517209"/>
    <w:rsid w:val="5B544EB3"/>
    <w:rsid w:val="5B6A33DD"/>
    <w:rsid w:val="5B7C5AEB"/>
    <w:rsid w:val="5BF04FFA"/>
    <w:rsid w:val="5C241AEE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842B2"/>
    <w:rsid w:val="5D6B7BC6"/>
    <w:rsid w:val="5D6C21B2"/>
    <w:rsid w:val="5D827878"/>
    <w:rsid w:val="5D88228C"/>
    <w:rsid w:val="5D96156A"/>
    <w:rsid w:val="5DB03139"/>
    <w:rsid w:val="5DBF6011"/>
    <w:rsid w:val="5DC13CCC"/>
    <w:rsid w:val="5DC55564"/>
    <w:rsid w:val="5DDA5570"/>
    <w:rsid w:val="5DE86882"/>
    <w:rsid w:val="5E004E0B"/>
    <w:rsid w:val="5E0D6E91"/>
    <w:rsid w:val="5E1D75C7"/>
    <w:rsid w:val="5E264AF8"/>
    <w:rsid w:val="5E3B413F"/>
    <w:rsid w:val="5E971B73"/>
    <w:rsid w:val="5EA12B9A"/>
    <w:rsid w:val="5EB61B43"/>
    <w:rsid w:val="5EBA7075"/>
    <w:rsid w:val="5EBF5DC8"/>
    <w:rsid w:val="5F02275D"/>
    <w:rsid w:val="5F0973DA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4F743B"/>
    <w:rsid w:val="61744854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E82422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34059B"/>
    <w:rsid w:val="64621F9C"/>
    <w:rsid w:val="64A537DD"/>
    <w:rsid w:val="64B51DAE"/>
    <w:rsid w:val="64B96E85"/>
    <w:rsid w:val="64BB6795"/>
    <w:rsid w:val="64D069A0"/>
    <w:rsid w:val="64F27E75"/>
    <w:rsid w:val="65067C78"/>
    <w:rsid w:val="651F2379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15ABC"/>
    <w:rsid w:val="663F056D"/>
    <w:rsid w:val="665A6FDB"/>
    <w:rsid w:val="665B440E"/>
    <w:rsid w:val="66720AD3"/>
    <w:rsid w:val="66824595"/>
    <w:rsid w:val="66B368AE"/>
    <w:rsid w:val="66B532F3"/>
    <w:rsid w:val="66C2760F"/>
    <w:rsid w:val="66C71719"/>
    <w:rsid w:val="66CB2597"/>
    <w:rsid w:val="66FA7FFA"/>
    <w:rsid w:val="673964CD"/>
    <w:rsid w:val="675A3B6C"/>
    <w:rsid w:val="678B4DA6"/>
    <w:rsid w:val="67AF7DB6"/>
    <w:rsid w:val="680564C6"/>
    <w:rsid w:val="681B3F7A"/>
    <w:rsid w:val="68233428"/>
    <w:rsid w:val="68494570"/>
    <w:rsid w:val="68580655"/>
    <w:rsid w:val="68B54AF7"/>
    <w:rsid w:val="68BB527D"/>
    <w:rsid w:val="68C96D98"/>
    <w:rsid w:val="68CA009F"/>
    <w:rsid w:val="68D402C9"/>
    <w:rsid w:val="68D670D7"/>
    <w:rsid w:val="68E21FF0"/>
    <w:rsid w:val="68E43EF4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24D262A"/>
    <w:rsid w:val="72702455"/>
    <w:rsid w:val="728F2E47"/>
    <w:rsid w:val="72973011"/>
    <w:rsid w:val="72CD6505"/>
    <w:rsid w:val="72D43410"/>
    <w:rsid w:val="72DF0693"/>
    <w:rsid w:val="72E42D1B"/>
    <w:rsid w:val="72F76F65"/>
    <w:rsid w:val="730C52E1"/>
    <w:rsid w:val="734F0911"/>
    <w:rsid w:val="736054C4"/>
    <w:rsid w:val="736C572D"/>
    <w:rsid w:val="73A422EB"/>
    <w:rsid w:val="73AF2BF8"/>
    <w:rsid w:val="73C80EF6"/>
    <w:rsid w:val="74103E55"/>
    <w:rsid w:val="74456E15"/>
    <w:rsid w:val="745B622A"/>
    <w:rsid w:val="74855006"/>
    <w:rsid w:val="753E2D2E"/>
    <w:rsid w:val="753F2F7D"/>
    <w:rsid w:val="75DB13A5"/>
    <w:rsid w:val="75E552E3"/>
    <w:rsid w:val="7648538B"/>
    <w:rsid w:val="76531223"/>
    <w:rsid w:val="76AA0FA2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47671C"/>
    <w:rsid w:val="78644FBF"/>
    <w:rsid w:val="78680ECD"/>
    <w:rsid w:val="787F150D"/>
    <w:rsid w:val="787F4828"/>
    <w:rsid w:val="7880670B"/>
    <w:rsid w:val="789B60E9"/>
    <w:rsid w:val="78AE3180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307F44"/>
    <w:rsid w:val="7E6305EF"/>
    <w:rsid w:val="7E8D50F9"/>
    <w:rsid w:val="7ED83B5B"/>
    <w:rsid w:val="7EDA5201"/>
    <w:rsid w:val="7F054C3B"/>
    <w:rsid w:val="7F541664"/>
    <w:rsid w:val="7F697999"/>
    <w:rsid w:val="7F9026D0"/>
    <w:rsid w:val="7F984417"/>
    <w:rsid w:val="7FDB730C"/>
    <w:rsid w:val="7FDC7239"/>
    <w:rsid w:val="7FE412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after="8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1728</Words>
  <Characters>1833</Characters>
  <Lines>1</Lines>
  <Paragraphs>1</Paragraphs>
  <TotalTime>1</TotalTime>
  <ScaleCrop>false</ScaleCrop>
  <LinksUpToDate>false</LinksUpToDate>
  <CharactersWithSpaces>1947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2022-12-06T19:31:56Z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7235EEB6876B435DAB554F9383317E94</vt:lpwstr>
  </property>
  <property fmtid="{D5CDD505-2E9C-101B-9397-08002B2CF9AE}" pid="4" name="commondata">
    <vt:lpwstr>eyJoZGlkIjoiMDc4ZWJiZGY2YjU2MmRhNjg4NDA1NWJhMzhhZTVmYzcifQ==</vt:lpwstr>
  </property>
</Properties>
</file>