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235-2021-Q-2022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甘肃中海空港电力设备制造有限公司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376"/>
        <w:gridCol w:w="1046"/>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甘肃中海空港电力设备制造有限公司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241" w:type="dxa"/>
            <w:gridSpan w:val="3"/>
          </w:tcPr>
          <w:p>
            <w:bookmarkStart w:id="6" w:name="注册地址"/>
            <w:r>
              <w:t>甘肃省定西市安定区循环经济产业园区新城大道9-9号</w:t>
            </w:r>
            <w:bookmarkEnd w:id="6"/>
          </w:p>
        </w:tc>
        <w:tc>
          <w:tcPr>
            <w:tcW w:w="1046" w:type="dxa"/>
            <w:vMerge w:val="restart"/>
            <w:vAlign w:val="center"/>
          </w:tcPr>
          <w:p>
            <w:r>
              <w:rPr>
                <w:rFonts w:hint="eastAsia"/>
              </w:rPr>
              <w:t>邮编</w:t>
            </w:r>
          </w:p>
        </w:tc>
        <w:tc>
          <w:tcPr>
            <w:tcW w:w="1771" w:type="dxa"/>
          </w:tcPr>
          <w:p>
            <w:bookmarkStart w:id="7" w:name="注册邮编"/>
            <w:r>
              <w:t>744300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241" w:type="dxa"/>
            <w:gridSpan w:val="3"/>
          </w:tcPr>
          <w:p>
            <w:bookmarkStart w:id="8" w:name="生产地址"/>
            <w:r>
              <w:t>甘肃省定西市安定区循环经济产业园区新城大道9-9号</w:t>
            </w:r>
            <w:bookmarkEnd w:id="8"/>
          </w:p>
        </w:tc>
        <w:tc>
          <w:tcPr>
            <w:tcW w:w="1046" w:type="dxa"/>
            <w:vMerge w:val="continue"/>
            <w:vAlign w:val="center"/>
          </w:tcPr>
          <w:p/>
        </w:tc>
        <w:tc>
          <w:tcPr>
            <w:tcW w:w="1771" w:type="dxa"/>
          </w:tcPr>
          <w:p>
            <w:bookmarkStart w:id="9" w:name="办公邮编"/>
            <w:r>
              <w:t>744300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bookmarkStart w:id="10" w:name="联系人"/>
            <w:bookmarkEnd w:id="10"/>
            <w:r>
              <w:t>常汉义</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376" w:type="dxa"/>
            <w:vAlign w:val="center"/>
          </w:tcPr>
          <w:p>
            <w:pPr>
              <w:rPr>
                <w:rFonts w:ascii="Times New Roman" w:hAnsi="Times New Roman" w:eastAsia="宋体" w:cs="Times New Roman"/>
                <w:kern w:val="2"/>
                <w:sz w:val="21"/>
                <w:szCs w:val="24"/>
                <w:lang w:val="en-US" w:eastAsia="zh-CN" w:bidi="ar-SA"/>
              </w:rPr>
            </w:pPr>
            <w:bookmarkStart w:id="11" w:name="联系人电话"/>
            <w:bookmarkEnd w:id="11"/>
            <w:r>
              <w:t>18947410306</w:t>
            </w:r>
          </w:p>
        </w:tc>
        <w:tc>
          <w:tcPr>
            <w:tcW w:w="1046"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连继东</w:t>
            </w:r>
            <w:bookmarkEnd w:id="13"/>
          </w:p>
        </w:tc>
        <w:tc>
          <w:tcPr>
            <w:tcW w:w="1313" w:type="dxa"/>
            <w:vAlign w:val="center"/>
          </w:tcPr>
          <w:p>
            <w:r>
              <w:rPr>
                <w:rFonts w:hint="eastAsia"/>
              </w:rPr>
              <w:t>管理者代表</w:t>
            </w:r>
          </w:p>
        </w:tc>
        <w:tc>
          <w:tcPr>
            <w:tcW w:w="2376" w:type="dxa"/>
          </w:tcPr>
          <w:p>
            <w:bookmarkStart w:id="14" w:name="管理者代表"/>
            <w:r>
              <w:t>常汉义</w:t>
            </w:r>
            <w:bookmarkEnd w:id="14"/>
          </w:p>
        </w:tc>
        <w:tc>
          <w:tcPr>
            <w:tcW w:w="1046"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受审核组织的班次：■单班□双班□三班□其他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lang w:val="en-US" w:eastAsia="zh-CN"/>
              </w:rPr>
            </w:pPr>
            <w:r>
              <w:rPr>
                <w:rFonts w:hint="eastAsia"/>
                <w:lang w:val="en-US" w:eastAsia="zh-CN"/>
              </w:rPr>
              <w:t>电杆生产流程：配料→搅拌→装筋→浇灌→离心成型→自然养护→脱模→成品检验</w:t>
            </w:r>
          </w:p>
          <w:p>
            <w:pPr>
              <w:rPr>
                <w:rFonts w:hint="eastAsia"/>
                <w:lang w:val="en-US" w:eastAsia="zh-CN"/>
              </w:rPr>
            </w:pPr>
            <w:r>
              <w:rPr>
                <w:rFonts w:hint="eastAsia" w:ascii="Times New Roman" w:hAnsi="Times New Roman" w:eastAsia="宋体" w:cs="Times New Roman"/>
                <w:lang w:val="en-US" w:eastAsia="zh-CN"/>
              </w:rPr>
              <w:t>高低压电器设备销售流程：</w:t>
            </w:r>
          </w:p>
          <w:p>
            <w:r>
              <w:rPr>
                <w:rFonts w:hint="eastAsia" w:ascii="Times New Roman" w:hAnsi="Times New Roman" w:eastAsia="宋体" w:cs="Times New Roman"/>
                <w:lang w:val="en-US" w:eastAsia="zh-CN"/>
              </w:rPr>
              <w:t>售前准备—收集客户信息—需求分析—销售报价—签订销售合同—合同评审—确认销售产品、销售出库—销售收款</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2022年11月04日 上午至2022年11月04日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lang w:val="de-DE"/>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甘肃省定西市安定区循环经济产业园区新城大道9-9号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音频</w:t>
            </w:r>
            <w:r>
              <w:rPr>
                <w:rFonts w:hint="eastAsia"/>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网络</w:t>
            </w:r>
            <w:r>
              <w:rPr>
                <w:rFonts w:hint="eastAsia"/>
              </w:rPr>
              <w:t>■</w:t>
            </w:r>
            <w:r>
              <w:rPr>
                <w:rFonts w:hint="eastAsia" w:ascii="宋体"/>
                <w:b/>
                <w:color w:val="0000FF"/>
                <w:szCs w:val="21"/>
              </w:rPr>
              <w:t>智能手机□手持设备</w:t>
            </w:r>
            <w:r>
              <w:rPr>
                <w:rFonts w:hint="eastAsia"/>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未认可：环形混凝土电杆的生产</w:t>
            </w:r>
          </w:p>
          <w:p>
            <w:r>
              <w:t>认可：高低压电器的销售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16.02.01;29.10.07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lang w:val="en-US"/>
              </w:rPr>
            </w:pPr>
            <w:r>
              <w:rPr>
                <w:rFonts w:hint="eastAsia" w:ascii="宋体" w:hAnsi="宋体" w:cs="宋体"/>
                <w:szCs w:val="21"/>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pPr>
              <w:rPr>
                <w:rFonts w:hint="eastAsia" w:ascii="Times New Roman" w:hAnsi="Times New Roman" w:eastAsia="宋体" w:cs="Times New Roman"/>
              </w:rPr>
            </w:pPr>
            <w:r>
              <w:rPr>
                <w:rFonts w:hint="eastAsia"/>
              </w:rPr>
              <w:t>■受审核组织按照</w:t>
            </w:r>
            <w:r>
              <w:rPr>
                <w:rFonts w:hint="eastAsia" w:ascii="Times New Roman" w:hAnsi="Times New Roman" w:eastAsia="宋体" w:cs="Times New Roman"/>
              </w:rPr>
              <w:t>顾客图纸和合同要求提供生产和服务</w:t>
            </w:r>
          </w:p>
          <w:p>
            <w:r>
              <w:rPr>
                <w:rFonts w:hint="eastAsia" w:ascii="Times New Roman" w:hAnsi="Times New Roman" w:eastAsia="宋体" w:cs="Times New Roman"/>
              </w:rPr>
              <w:t>□受审核组织按照公司总部</w:t>
            </w:r>
            <w:r>
              <w:rPr>
                <w:rFonts w:hint="eastAsia"/>
              </w:rPr>
              <w:t>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Times New Roman" w:hAnsi="Times New Roman" w:eastAsia="宋体" w:cs="Times New Roman"/>
              </w:rPr>
              <w:t>20</w:t>
            </w:r>
            <w:r>
              <w:rPr>
                <w:rFonts w:hint="eastAsia" w:ascii="Times New Roman" w:hAnsi="Times New Roman" w:eastAsia="宋体" w:cs="Times New Roman"/>
                <w:lang w:val="en-US" w:eastAsia="zh-CN"/>
              </w:rPr>
              <w:t>21</w:t>
            </w:r>
            <w:r>
              <w:rPr>
                <w:rFonts w:hint="eastAsia" w:ascii="Times New Roman" w:hAnsi="Times New Roman" w:eastAsia="宋体" w:cs="Times New Roman"/>
              </w:rPr>
              <w:t>年</w:t>
            </w:r>
            <w:r>
              <w:rPr>
                <w:rFonts w:hint="eastAsia" w:ascii="Times New Roman" w:hAnsi="Times New Roman" w:eastAsia="宋体" w:cs="Times New Roman"/>
                <w:lang w:val="en-US" w:eastAsia="zh-CN"/>
              </w:rPr>
              <w:t>5</w:t>
            </w:r>
            <w:r>
              <w:rPr>
                <w:rFonts w:hint="eastAsia" w:ascii="Times New Roman" w:hAnsi="Times New Roman" w:eastAsia="宋体" w:cs="Times New Roman"/>
              </w:rPr>
              <w:t>月</w:t>
            </w:r>
            <w:r>
              <w:rPr>
                <w:rFonts w:hint="eastAsia" w:ascii="Times New Roman" w:hAnsi="Times New Roman" w:eastAsia="宋体" w:cs="Times New Roman"/>
                <w:lang w:val="en-US" w:eastAsia="zh-CN"/>
              </w:rPr>
              <w:t>10</w:t>
            </w:r>
            <w:r>
              <w:rPr>
                <w:rFonts w:hint="eastAsia" w:ascii="Times New Roman" w:hAnsi="Times New Roman" w:eastAsia="宋体" w:cs="Times New Roman"/>
              </w:rPr>
              <w:t>日</w:t>
            </w:r>
          </w:p>
        </w:tc>
        <w:tc>
          <w:tcPr>
            <w:tcW w:w="1883" w:type="dxa"/>
            <w:vAlign w:val="center"/>
          </w:tcPr>
          <w:p>
            <w:r>
              <w:rPr>
                <w:rFonts w:hint="eastAsia"/>
              </w:rPr>
              <w:t>管理体系运行已超过3个月</w:t>
            </w:r>
          </w:p>
        </w:tc>
        <w:tc>
          <w:tcPr>
            <w:tcW w:w="3215" w:type="dxa"/>
            <w:vAlign w:val="center"/>
          </w:tcPr>
          <w:p>
            <w:r>
              <w:rPr>
                <w:rFonts w:hint="eastAsia"/>
              </w:rPr>
              <w:t>■是</w:t>
            </w:r>
            <w:r>
              <w:rPr>
                <w:rFonts w:hint="eastAsia"/>
              </w:rPr>
              <w:sym w:font="Wingdings 2" w:char="00A3"/>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2021年11月24日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24</w:t>
            </w:r>
            <w:r>
              <w:rPr>
                <w:rFonts w:hint="eastAsia"/>
              </w:rPr>
              <w:t>年</w:t>
            </w:r>
            <w:r>
              <w:rPr>
                <w:rFonts w:hint="eastAsia"/>
                <w:lang w:val="en-US" w:eastAsia="zh-CN"/>
              </w:rPr>
              <w:t>11</w:t>
            </w:r>
            <w:r>
              <w:rPr>
                <w:rFonts w:hint="eastAsia"/>
              </w:rPr>
              <w:t>月</w:t>
            </w:r>
            <w:r>
              <w:rPr>
                <w:rFonts w:hint="eastAsia"/>
                <w:lang w:val="en-US" w:eastAsia="zh-CN"/>
              </w:rPr>
              <w:t>7</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r>
              <w:t>甘肃中海空港电力设备制造有限公司</w:t>
            </w:r>
          </w:p>
          <w:p>
            <w:pPr>
              <w:pStyle w:val="2"/>
              <w:rPr>
                <w:rFonts w:ascii="Times New Roman" w:hAnsi="Times New Roman" w:eastAsia="宋体" w:cs="Times New Roman"/>
                <w:bCs/>
                <w:spacing w:val="10"/>
                <w:kern w:val="2"/>
                <w:sz w:val="21"/>
                <w:szCs w:val="24"/>
                <w:lang w:val="de-DE" w:eastAsia="ja-JP" w:bidi="ar-SA"/>
              </w:rPr>
            </w:pPr>
            <w:r>
              <w:t>甘肃省定西市安定区循环经济产业园区新城大道9-9号</w:t>
            </w:r>
          </w:p>
        </w:tc>
        <w:tc>
          <w:tcPr>
            <w:tcW w:w="2267" w:type="dxa"/>
            <w:vAlign w:val="top"/>
          </w:tcPr>
          <w:p>
            <w:pPr>
              <w:rPr>
                <w:rFonts w:ascii="Times New Roman" w:hAnsi="Times New Roman" w:eastAsia="宋体" w:cs="Times New Roman"/>
                <w:kern w:val="2"/>
                <w:sz w:val="21"/>
                <w:szCs w:val="24"/>
                <w:lang w:val="de-DE" w:eastAsia="ja-JP" w:bidi="ar-SA"/>
              </w:rPr>
            </w:pPr>
            <w:r>
              <w:t>甘肃省定西市安定区循环经济产业园区新城大道9-9号</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15</w:t>
            </w:r>
          </w:p>
        </w:tc>
        <w:tc>
          <w:tcPr>
            <w:tcW w:w="2803" w:type="dxa"/>
            <w:vAlign w:val="center"/>
          </w:tcPr>
          <w:p>
            <w:pPr>
              <w:rPr>
                <w:rFonts w:ascii="Times New Roman" w:hAnsi="Times New Roman" w:eastAsia="宋体" w:cs="Times New Roman"/>
                <w:kern w:val="2"/>
                <w:sz w:val="21"/>
                <w:szCs w:val="24"/>
                <w:lang w:val="en-US" w:eastAsia="ja-JP" w:bidi="ar-SA"/>
              </w:rPr>
            </w:pPr>
            <w:r>
              <w:t>环形混凝土电杆的生产和高低压电器的销售</w:t>
            </w:r>
          </w:p>
        </w:tc>
        <w:tc>
          <w:tcPr>
            <w:tcW w:w="669" w:type="dxa"/>
            <w:vAlign w:val="center"/>
          </w:tcPr>
          <w:p>
            <w:pPr>
              <w:rPr>
                <w:lang w:eastAsia="ja-JP"/>
              </w:rPr>
            </w:pP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安涛</w:t>
            </w:r>
          </w:p>
        </w:tc>
        <w:tc>
          <w:tcPr>
            <w:tcW w:w="1089" w:type="dxa"/>
            <w:vAlign w:val="center"/>
          </w:tcPr>
          <w:p>
            <w:r>
              <w:t>组长</w:t>
            </w:r>
          </w:p>
        </w:tc>
        <w:tc>
          <w:tcPr>
            <w:tcW w:w="711" w:type="dxa"/>
            <w:vAlign w:val="center"/>
          </w:tcPr>
          <w:p>
            <w:r>
              <w:t>男</w:t>
            </w:r>
          </w:p>
        </w:tc>
        <w:tc>
          <w:tcPr>
            <w:tcW w:w="3870" w:type="dxa"/>
            <w:vAlign w:val="center"/>
          </w:tcPr>
          <w:p>
            <w:r>
              <w:t>2020-N1QMS-2211720</w:t>
            </w:r>
          </w:p>
        </w:tc>
        <w:tc>
          <w:tcPr>
            <w:tcW w:w="2179" w:type="dxa"/>
            <w:vAlign w:val="center"/>
          </w:tcPr>
          <w:p>
            <w:r>
              <w:t>16.02.01,29.10.07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经验证，已整改。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339090</wp:posOffset>
                  </wp:positionH>
                  <wp:positionV relativeFrom="paragraph">
                    <wp:posOffset>38100</wp:posOffset>
                  </wp:positionV>
                  <wp:extent cx="694690" cy="327025"/>
                  <wp:effectExtent l="0" t="0" r="0" b="8890"/>
                  <wp:wrapNone/>
                  <wp:docPr id="1" name="图片 1" descr="安涛签名透明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安涛签名透明1"/>
                          <pic:cNvPicPr>
                            <a:picLocks noChangeAspect="1"/>
                          </pic:cNvPicPr>
                        </pic:nvPicPr>
                        <pic:blipFill>
                          <a:blip r:embed="rId6"/>
                          <a:stretch>
                            <a:fillRect/>
                          </a:stretch>
                        </pic:blipFill>
                        <pic:spPr>
                          <a:xfrm>
                            <a:off x="0" y="0"/>
                            <a:ext cx="694690" cy="32702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2022.11.4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bookmarkStart w:id="34" w:name="_GoBack"/>
      <w:bookmarkEnd w:id="34"/>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57"/>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pPr>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pPr>
                  <w:r>
                    <w:rPr>
                      <w:rFonts w:hint="eastAsia"/>
                    </w:rPr>
                    <w:t xml:space="preserve">■价值观  ■文化  ■知识 ■绩效 ■工艺 ■设备 ■人员能力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 ■人员能力 ■检测水平■合同评审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 ■建立机制■法规宣传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rPr>
              <w:t>最高管理者制定了文件化的管理体系方针：</w:t>
            </w:r>
            <w:r>
              <w:rPr>
                <w:rFonts w:hint="eastAsia" w:ascii="Times New Roman" w:hAnsi="Times New Roman" w:eastAsia="宋体" w:cs="Times New Roman"/>
              </w:rPr>
              <w:t>专业生产，精益求精；持续创新，优质服务</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lang w:val="en-US" w:eastAsia="zh-CN"/>
              </w:rPr>
            </w:pPr>
            <w:r>
              <w:rPr>
                <w:rFonts w:hint="eastAsia"/>
              </w:rPr>
              <w:t>QMS的主管部门是——</w:t>
            </w:r>
            <w:r>
              <w:rPr>
                <w:rFonts w:hint="eastAsia"/>
                <w:lang w:val="en-US" w:eastAsia="zh-CN"/>
              </w:rPr>
              <w:t>综合管理部</w:t>
            </w:r>
          </w:p>
          <w:p>
            <w:pPr>
              <w:shd w:val="clear" w:color="auto" w:fill="C7DAF1" w:themeFill="text2" w:themeFillTint="3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5596"/>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shd w:val="clear" w:color="auto" w:fill="C7DAF1" w:themeFill="text2" w:themeFillTint="32"/>
                  </w:pPr>
                  <w:r>
                    <w:rPr>
                      <w:rFonts w:hint="eastAsia"/>
                    </w:rPr>
                    <w:t>主要的风险或机遇描述</w:t>
                  </w:r>
                </w:p>
              </w:tc>
              <w:tc>
                <w:tcPr>
                  <w:tcW w:w="5596" w:type="dxa"/>
                </w:tcPr>
                <w:p>
                  <w:pPr>
                    <w:shd w:val="clear" w:color="auto" w:fill="C7DAF1" w:themeFill="text2" w:themeFillTint="32"/>
                  </w:pPr>
                  <w:r>
                    <w:rPr>
                      <w:rFonts w:hint="eastAsia"/>
                    </w:rPr>
                    <w:t>应对措施</w:t>
                  </w:r>
                </w:p>
              </w:tc>
              <w:tc>
                <w:tcPr>
                  <w:tcW w:w="1415"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订单评审过程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1、对客户的要求</w:t>
                  </w:r>
                  <w:r>
                    <w:rPr>
                      <w:rFonts w:hint="eastAsia" w:ascii="宋体" w:hAnsi="宋体" w:cs="宋体"/>
                      <w:color w:val="000000"/>
                      <w:kern w:val="0"/>
                      <w:sz w:val="20"/>
                      <w:szCs w:val="20"/>
                      <w:lang w:val="en-US" w:eastAsia="zh-CN"/>
                    </w:rPr>
                    <w:t>综合管理部</w:t>
                  </w:r>
                  <w:r>
                    <w:rPr>
                      <w:rFonts w:hint="eastAsia" w:ascii="宋体" w:hAnsi="宋体" w:cs="宋体"/>
                      <w:color w:val="000000"/>
                      <w:kern w:val="0"/>
                      <w:sz w:val="20"/>
                      <w:szCs w:val="20"/>
                    </w:rPr>
                    <w:t>组织相关部门进行识别；</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2、在确定与客户签署合同前落实合同评审事宜。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相关文件：《与顾客有关的过程控制程序》</w:t>
                  </w:r>
                </w:p>
              </w:tc>
              <w:tc>
                <w:tcPr>
                  <w:tcW w:w="141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生产过程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1、合理安排生产计划；销售人员每日</w:t>
                  </w:r>
                  <w:r>
                    <w:rPr>
                      <w:rFonts w:hint="eastAsia" w:ascii="宋体" w:hAnsi="宋体" w:cs="宋体"/>
                      <w:color w:val="000000"/>
                      <w:kern w:val="0"/>
                      <w:sz w:val="20"/>
                      <w:szCs w:val="20"/>
                      <w:lang w:val="en-US" w:eastAsia="zh-CN"/>
                    </w:rPr>
                    <w:t>全程</w:t>
                  </w:r>
                  <w:r>
                    <w:rPr>
                      <w:rFonts w:hint="eastAsia" w:ascii="宋体" w:hAnsi="宋体" w:cs="宋体"/>
                      <w:color w:val="000000"/>
                      <w:kern w:val="0"/>
                      <w:sz w:val="20"/>
                      <w:szCs w:val="20"/>
                    </w:rPr>
                    <w:t>跟踪生产计划的进度；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2、制定安全库存；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3、不良率指标监控，及时采用纠正预防措施；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4、产品执行批次和标识管理；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相关文件：《生产和服务提供控制程序》；《不合格品控制程序》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交付和顾客反馈过程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1、安全库存；生产计划每日统计达成；产品，成品出货检验；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2、客户投诉台账，</w:t>
                  </w:r>
                  <w:r>
                    <w:rPr>
                      <w:rFonts w:hint="eastAsia" w:ascii="宋体" w:hAnsi="宋体" w:cs="宋体"/>
                      <w:color w:val="000000"/>
                      <w:kern w:val="0"/>
                      <w:sz w:val="20"/>
                      <w:szCs w:val="20"/>
                      <w:lang w:val="en-US" w:eastAsia="zh-CN"/>
                    </w:rPr>
                    <w:t>综合管理部</w:t>
                  </w:r>
                  <w:r>
                    <w:rPr>
                      <w:rFonts w:hint="eastAsia" w:ascii="宋体" w:hAnsi="宋体" w:cs="宋体"/>
                      <w:color w:val="000000"/>
                      <w:kern w:val="0"/>
                      <w:sz w:val="20"/>
                      <w:szCs w:val="20"/>
                    </w:rPr>
                    <w:t>专人负责处理并及时回复客户，保存相应证据；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3、顾客满意度设立监控指标，每年至少调查分析一次；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相关文件：《顾客满意程度测量控制程序》、《纠正措施控制程序》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管理评审过程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1、管理评审计划的输入项要分配到相应的责任部门，总经理批准进行确认；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2、管理评审输出改进项，下一次管理当作输入项，总经理进行评审确认。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相关文件：《管理评审控制程序》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采购过程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1、开发建立备用供方以及供方淘汰制度；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2、供应商业绩定期评价，对供方进行考核和扣款等；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3、建立原辅材料安全库存；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相关文件：《采购控制程序》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检验过程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1、进货检验指导书，规定抽样方案和接收、判退规定；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2、工艺文件规定</w:t>
                  </w:r>
                  <w:r>
                    <w:rPr>
                      <w:rFonts w:hint="eastAsia" w:ascii="宋体" w:hAnsi="宋体" w:cs="宋体"/>
                      <w:color w:val="000000"/>
                      <w:kern w:val="0"/>
                      <w:sz w:val="20"/>
                      <w:szCs w:val="20"/>
                      <w:lang w:val="en-US" w:eastAsia="zh-CN"/>
                    </w:rPr>
                    <w:t>抽样点、时间</w:t>
                  </w:r>
                  <w:r>
                    <w:rPr>
                      <w:rFonts w:hint="eastAsia" w:ascii="宋体" w:hAnsi="宋体" w:cs="宋体"/>
                      <w:color w:val="000000"/>
                      <w:kern w:val="0"/>
                      <w:sz w:val="20"/>
                      <w:szCs w:val="20"/>
                    </w:rPr>
                    <w:t>检验制度</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3、成品检验指导书，规定抽样方案和接收、判退规定；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相关文件：《产品的监视和测量控制程序》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设备管理过程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1、设备建立日常保养制度、定期保养计划；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2、设备产能分析；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3、设备建立易损件备品备件清单；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相关文件：《设施和工作环境控制程序》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甘肃市场及基础建设需求增大带来机遇</w:t>
                  </w:r>
                </w:p>
              </w:tc>
              <w:tc>
                <w:tcPr>
                  <w:tcW w:w="5596"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保证生产能力、提高业务人员水平</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bl>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highlight w:val="none"/>
                    </w:rPr>
                    <w:t>顾客满意度≥</w:t>
                  </w:r>
                  <w:r>
                    <w:rPr>
                      <w:rFonts w:hint="eastAsia" w:ascii="宋体" w:hAnsi="宋体" w:eastAsia="宋体" w:cs="Times New Roman"/>
                      <w:color w:val="auto"/>
                      <w:highlight w:val="none"/>
                      <w:lang w:val="en-US" w:eastAsia="zh-CN"/>
                    </w:rPr>
                    <w:t>8</w:t>
                  </w:r>
                  <w:r>
                    <w:rPr>
                      <w:rFonts w:hint="eastAsia" w:ascii="宋体" w:hAnsi="宋体" w:eastAsia="宋体" w:cs="Times New Roman"/>
                      <w:color w:val="auto"/>
                      <w:highlight w:val="none"/>
                    </w:rPr>
                    <w:t>5%</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color w:val="auto"/>
                      <w:kern w:val="2"/>
                      <w:sz w:val="21"/>
                      <w:szCs w:val="24"/>
                      <w:highlight w:val="none"/>
                      <w:lang w:val="en-GB" w:eastAsia="zh-CN" w:bidi="ar-SA"/>
                    </w:rPr>
                  </w:pPr>
                  <w:r>
                    <w:rPr>
                      <w:rFonts w:hint="eastAsia" w:eastAsia="宋体"/>
                      <w:color w:val="auto"/>
                      <w:highlight w:val="none"/>
                      <w:lang w:val="en-US" w:eastAsia="zh-CN"/>
                    </w:rPr>
                    <w:t>综合管理部</w:t>
                  </w:r>
                  <w:r>
                    <w:rPr>
                      <w:rFonts w:hint="eastAsia" w:eastAsia="宋体"/>
                      <w:color w:val="auto"/>
                      <w:highlight w:val="none"/>
                    </w:rPr>
                    <w:t>统计分析报告</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GB" w:eastAsia="zh-CN" w:bidi="ar-SA"/>
                    </w:rPr>
                  </w:pPr>
                  <w:r>
                    <w:rPr>
                      <w:rFonts w:hint="eastAsia" w:eastAsia="宋体"/>
                      <w:color w:val="auto"/>
                      <w:highlight w:val="none"/>
                      <w:lang w:val="en-US" w:eastAsia="zh-CN"/>
                    </w:rPr>
                    <w:t>综合管理部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eastAsia="宋体" w:cs="Times New Roman"/>
                    </w:rPr>
                    <w:t>成品交检合格率≥9</w:t>
                  </w:r>
                  <w:r>
                    <w:rPr>
                      <w:rFonts w:hint="eastAsia" w:ascii="宋体" w:hAnsi="宋体" w:eastAsia="宋体" w:cs="Times New Roman"/>
                      <w:lang w:val="en-US" w:eastAsia="zh-CN"/>
                    </w:rPr>
                    <w:t>2</w:t>
                  </w:r>
                  <w:r>
                    <w:rPr>
                      <w:rFonts w:hint="eastAsia" w:ascii="宋体" w:hAnsi="宋体" w:eastAsia="宋体" w:cs="Times New Roman"/>
                    </w:rPr>
                    <w:t>%</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eastAsia="宋体"/>
                    </w:rPr>
                    <w:t>成品一次交检合格率=（成品一次交检合格批数/交检总批数）×100%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生产技术部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GB" w:eastAsia="zh-CN" w:bidi="ar-SA"/>
                    </w:rPr>
                  </w:pPr>
                  <w:r>
                    <w:rPr>
                      <w:rFonts w:hint="eastAsia" w:eastAsia="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eastAsia="宋体" w:cs="Times New Roman"/>
                      <w:lang w:eastAsia="zh-CN"/>
                    </w:rPr>
                    <w:t>产品</w:t>
                  </w:r>
                  <w:r>
                    <w:rPr>
                      <w:rFonts w:hint="eastAsia" w:ascii="宋体" w:hAnsi="宋体" w:eastAsia="宋体" w:cs="Times New Roman"/>
                    </w:rPr>
                    <w:t>准时交货率≥95%</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eastAsia="宋体"/>
                    </w:rPr>
                    <w:t>准时交货率=（准时交货批数/交货总批数）×100%</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ascii="宋体" w:hAnsi="宋体"/>
                      <w:lang w:val="en-US" w:eastAsia="zh-CN"/>
                    </w:rPr>
                    <w:t>生产技术部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r>
                    <w:rPr>
                      <w:rFonts w:hint="eastAsia" w:eastAsia="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eastAsia="宋体" w:cs="Times New Roman"/>
                    </w:rPr>
                    <w:t>顾客投诉</w:t>
                  </w:r>
                  <w:r>
                    <w:rPr>
                      <w:rFonts w:hint="eastAsia" w:ascii="宋体" w:hAnsi="宋体" w:eastAsia="宋体" w:cs="Times New Roman"/>
                      <w:lang w:val="en-US" w:eastAsia="zh-CN"/>
                    </w:rPr>
                    <w:t>及退货</w:t>
                  </w:r>
                  <w:r>
                    <w:rPr>
                      <w:rFonts w:hint="eastAsia" w:ascii="宋体" w:hAnsi="宋体" w:eastAsia="宋体" w:cs="Times New Roman"/>
                    </w:rPr>
                    <w:t>次数≤</w:t>
                  </w:r>
                  <w:r>
                    <w:rPr>
                      <w:rFonts w:hint="eastAsia" w:ascii="宋体" w:hAnsi="宋体" w:eastAsia="宋体" w:cs="Times New Roman"/>
                      <w:lang w:val="en-US" w:eastAsia="zh-CN"/>
                    </w:rPr>
                    <w:t>6</w:t>
                  </w:r>
                  <w:r>
                    <w:rPr>
                      <w:rFonts w:hint="eastAsia" w:ascii="宋体" w:hAnsi="宋体" w:eastAsia="宋体" w:cs="Times New Roman"/>
                    </w:rPr>
                    <w:t>次/年</w:t>
                  </w:r>
                </w:p>
              </w:tc>
              <w:tc>
                <w:tcPr>
                  <w:tcW w:w="3136"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eastAsia="宋体"/>
                      <w:color w:val="auto"/>
                      <w:highlight w:val="none"/>
                      <w:lang w:val="en-US" w:eastAsia="zh-CN"/>
                    </w:rPr>
                    <w:t>综合管理部</w:t>
                  </w:r>
                  <w:r>
                    <w:rPr>
                      <w:rFonts w:hint="eastAsia" w:eastAsia="宋体"/>
                      <w:lang w:val="en-US" w:eastAsia="zh-CN"/>
                    </w:rPr>
                    <w:t>统计</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eastAsia="宋体"/>
                      <w:color w:val="auto"/>
                      <w:highlight w:val="none"/>
                      <w:lang w:val="en-US" w:eastAsia="zh-CN"/>
                    </w:rPr>
                    <w:t>综合管理部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0</w:t>
                  </w: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w:t>
            </w:r>
            <w:r>
              <w:rPr>
                <w:rFonts w:hint="eastAsia" w:ascii="Times New Roman" w:hAnsi="Times New Roman" w:eastAsia="宋体" w:cs="Times New Roman"/>
                <w:lang w:val="en-US" w:eastAsia="zh-CN"/>
              </w:rPr>
              <w:t xml:space="preserve">2000平方米； </w:t>
            </w:r>
            <w:r>
              <w:rPr>
                <w:rFonts w:hint="eastAsia"/>
              </w:rPr>
              <w:t>生产车间</w:t>
            </w:r>
            <w:r>
              <w:rPr>
                <w:rFonts w:hint="eastAsia"/>
                <w:lang w:val="en-US" w:eastAsia="zh-CN"/>
              </w:rPr>
              <w:t>1</w:t>
            </w:r>
            <w:r>
              <w:rPr>
                <w:rFonts w:hint="eastAsia"/>
              </w:rPr>
              <w:t>个；库房</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ascii="宋体" w:hAnsi="宋体" w:eastAsia="宋体" w:cs="宋体"/>
                <w:b w:val="0"/>
                <w:bCs/>
                <w:sz w:val="21"/>
                <w:szCs w:val="21"/>
                <w:highlight w:val="none"/>
              </w:rPr>
              <w:t>离心机、搅拌机、装浆机、电动</w:t>
            </w:r>
            <w:r>
              <w:rPr>
                <w:rFonts w:hint="eastAsia" w:ascii="宋体" w:hAnsi="宋体" w:cs="宋体"/>
                <w:b w:val="0"/>
                <w:bCs/>
                <w:sz w:val="21"/>
                <w:szCs w:val="21"/>
                <w:highlight w:val="none"/>
                <w:lang w:eastAsia="zh-CN"/>
              </w:rPr>
              <w:t>葫芦门式起</w:t>
            </w:r>
            <w:r>
              <w:rPr>
                <w:rFonts w:hint="eastAsia" w:ascii="宋体" w:hAnsi="宋体" w:eastAsia="宋体" w:cs="宋体"/>
                <w:b w:val="0"/>
                <w:bCs/>
                <w:sz w:val="21"/>
                <w:szCs w:val="21"/>
                <w:highlight w:val="none"/>
              </w:rPr>
              <w:t>重机、电杆钢模</w:t>
            </w:r>
            <w:r>
              <w:rPr>
                <w:rFonts w:hint="eastAsia" w:ascii="宋体" w:hAnsi="宋体"/>
                <w:b w:val="0"/>
                <w:bCs/>
                <w:sz w:val="21"/>
                <w:szCs w:val="21"/>
                <w:highlight w:val="none"/>
              </w:rPr>
              <w:t>等</w:t>
            </w:r>
          </w:p>
          <w:p>
            <w:pPr>
              <w:shd w:val="clear" w:color="auto" w:fill="C7DAF1" w:themeFill="text2" w:themeFillTint="32"/>
              <w:rPr>
                <w:highlight w:val="none"/>
              </w:rPr>
            </w:pPr>
            <w:r>
              <w:rPr>
                <w:rFonts w:hint="eastAsia"/>
              </w:rPr>
              <w:t>特种设备：</w:t>
            </w:r>
            <w:r>
              <w:rPr>
                <w:rFonts w:hint="eastAsia" w:ascii="Wingdings" w:hAnsi="Wingdings"/>
              </w:rPr>
              <w:t>¨</w:t>
            </w:r>
            <w:r>
              <w:rPr>
                <w:rFonts w:hint="eastAsia"/>
                <w:highlight w:val="none"/>
              </w:rPr>
              <w:t>叉车■行车</w:t>
            </w:r>
            <w:r>
              <w:rPr>
                <w:rFonts w:hint="eastAsia" w:ascii="Wingdings" w:hAnsi="Wingdings"/>
                <w:highlight w:val="none"/>
              </w:rPr>
              <w:t>¨</w:t>
            </w:r>
            <w:r>
              <w:rPr>
                <w:rFonts w:hint="eastAsia"/>
                <w:highlight w:val="none"/>
              </w:rPr>
              <w:t>锅炉</w:t>
            </w:r>
            <w:r>
              <w:rPr>
                <w:rFonts w:hint="eastAsia" w:ascii="Wingdings" w:hAnsi="Wingdings"/>
                <w:highlight w:val="none"/>
              </w:rPr>
              <w:t>¨</w:t>
            </w:r>
            <w:r>
              <w:rPr>
                <w:rFonts w:hint="eastAsia"/>
                <w:highlight w:val="none"/>
              </w:rPr>
              <w:t>电梯</w:t>
            </w:r>
            <w:r>
              <w:rPr>
                <w:rFonts w:hint="eastAsia" w:ascii="Wingdings" w:hAnsi="Wingdings"/>
                <w:highlight w:val="none"/>
              </w:rPr>
              <w:t>¨</w:t>
            </w:r>
            <w:r>
              <w:rPr>
                <w:rFonts w:hint="eastAsia"/>
                <w:highlight w:val="none"/>
              </w:rPr>
              <w:t>压力容器</w:t>
            </w:r>
            <w:r>
              <w:rPr>
                <w:rFonts w:hint="eastAsia" w:ascii="Wingdings" w:hAnsi="Wingdings"/>
                <w:highlight w:val="none"/>
              </w:rPr>
              <w:t>¨</w:t>
            </w:r>
            <w:r>
              <w:rPr>
                <w:rFonts w:hint="eastAsia"/>
                <w:highlight w:val="none"/>
              </w:rPr>
              <w:t>压力管道</w:t>
            </w:r>
            <w:r>
              <w:rPr>
                <w:rFonts w:hint="eastAsia" w:ascii="Wingdings" w:hAnsi="Wingdings"/>
                <w:highlight w:val="none"/>
              </w:rPr>
              <w:t>¨</w:t>
            </w:r>
            <w:r>
              <w:rPr>
                <w:rFonts w:hint="eastAsia"/>
                <w:highlight w:val="none"/>
              </w:rPr>
              <w:t>不适用</w:t>
            </w:r>
          </w:p>
          <w:p>
            <w:pPr>
              <w:shd w:val="clear" w:color="auto" w:fill="C7DAF1" w:themeFill="text2" w:themeFillTint="32"/>
              <w:rPr>
                <w:highlight w:val="none"/>
                <w:u w:val="single"/>
              </w:rPr>
            </w:pPr>
            <w:r>
              <w:rPr>
                <w:rFonts w:hint="eastAsia"/>
                <w:highlight w:val="none"/>
              </w:rPr>
              <w:t>特种设备管理：■进行了定期检验</w:t>
            </w:r>
            <w:r>
              <w:rPr>
                <w:rFonts w:hint="eastAsia" w:ascii="Wingdings" w:hAnsi="Wingdings"/>
                <w:highlight w:val="none"/>
              </w:rPr>
              <w:t>¨</w:t>
            </w:r>
            <w:r>
              <w:rPr>
                <w:rFonts w:hint="eastAsia"/>
                <w:highlight w:val="none"/>
              </w:rPr>
              <w:t>未进行定期检验的有：</w:t>
            </w:r>
          </w:p>
          <w:p>
            <w:pPr>
              <w:shd w:val="clear" w:color="auto" w:fill="C7DAF1" w:themeFill="text2" w:themeFillTint="32"/>
            </w:pPr>
            <w:r>
              <w:rPr>
                <w:rFonts w:hint="eastAsia"/>
                <w:highlight w:val="none"/>
              </w:rPr>
              <w:t>■组织</w:t>
            </w:r>
            <w:r>
              <w:rPr>
                <w:highlight w:val="none"/>
              </w:rPr>
              <w:t>现有</w:t>
            </w:r>
            <w:r>
              <w:rPr>
                <w:rFonts w:hint="eastAsia"/>
                <w:highlight w:val="none"/>
              </w:rPr>
              <w:t>基础设施可满足质量管</w:t>
            </w:r>
            <w:r>
              <w:rPr>
                <w:rFonts w:hint="eastAsia"/>
              </w:rPr>
              <w:t>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自校■外校</w:t>
            </w:r>
          </w:p>
          <w:p>
            <w:pPr>
              <w:shd w:val="clear" w:color="auto" w:fill="C7DAF1" w:themeFill="text2" w:themeFillTint="32"/>
              <w:rPr>
                <w:rFonts w:hint="default" w:eastAsia="宋体"/>
                <w:u w:val="single"/>
                <w:lang w:val="en-US" w:eastAsia="zh-CN"/>
              </w:rPr>
            </w:pPr>
            <w:r>
              <w:rPr>
                <w:rFonts w:hint="eastAsia"/>
              </w:rPr>
              <w:t>国家强检的计量器具有：</w:t>
            </w:r>
            <w:r>
              <w:rPr>
                <w:rFonts w:hint="eastAsia"/>
                <w:u w:val="single"/>
                <w:lang w:val="en-US" w:eastAsia="zh-CN"/>
              </w:rPr>
              <w:t>压力试验机、标准恒温恒湿养护箱、裂缝测宽仪、游标卡尺</w:t>
            </w:r>
          </w:p>
          <w:p>
            <w:pPr>
              <w:shd w:val="clear" w:color="auto" w:fill="C7DAF1" w:themeFill="text2" w:themeFillTint="32"/>
              <w:rPr>
                <w:u w:val="single"/>
              </w:rPr>
            </w:pPr>
            <w:r>
              <w:rPr>
                <w:rFonts w:hint="eastAsia"/>
              </w:rPr>
              <w:t>计量器具管理：■进行了定期校准/检定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■生产经验  </w:t>
            </w:r>
            <w:r>
              <w:rPr>
                <w:rFonts w:hint="eastAsia" w:ascii="Wingdings" w:hAnsi="Wingdings"/>
              </w:rPr>
              <w:t>¨</w:t>
            </w:r>
            <w:r>
              <w:rPr>
                <w:rFonts w:hint="eastAsia"/>
              </w:rPr>
              <w:t xml:space="preserve">管理软件  ■市场预测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 xml:space="preserve">电工 ■焊工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rPr>
              <w:t>¨</w:t>
            </w:r>
            <w:r>
              <w:rPr>
                <w:rFonts w:hint="eastAsia"/>
              </w:rPr>
              <w:t>网站  ■标语  ■展板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■检测计划   ■接收准则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hint="eastAsia" w:ascii="Wingdings" w:hAnsi="Wingdings"/>
              </w:rPr>
              <w:t>¨</w:t>
            </w:r>
            <w:r>
              <w:rPr>
                <w:rFonts w:hint="eastAsia"/>
              </w:rPr>
              <w:t xml:space="preserve">企业标准  ■顾客要求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6"/>
              <w:gridCol w:w="3451"/>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6" w:type="dxa"/>
                </w:tcPr>
                <w:p>
                  <w:pPr>
                    <w:shd w:val="clear" w:color="auto" w:fill="C7DAF1" w:themeFill="text2" w:themeFillTint="32"/>
                    <w:jc w:val="left"/>
                  </w:pPr>
                  <w:r>
                    <w:rPr>
                      <w:rFonts w:hint="eastAsia"/>
                    </w:rPr>
                    <w:t>产品/服务名称</w:t>
                  </w:r>
                </w:p>
              </w:tc>
              <w:tc>
                <w:tcPr>
                  <w:tcW w:w="3451"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6"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环形混凝土电杆</w:t>
                  </w:r>
                </w:p>
              </w:tc>
              <w:tc>
                <w:tcPr>
                  <w:tcW w:w="3451"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r>
                    <w:rPr>
                      <w:rFonts w:hint="eastAsia"/>
                    </w:rPr>
                    <w:t>离心成型过程</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转速、时间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6" w:type="dxa"/>
                </w:tcPr>
                <w:p>
                  <w:pPr>
                    <w:shd w:val="clear" w:color="auto" w:fill="C7DAF1" w:themeFill="text2" w:themeFillTint="32"/>
                    <w:jc w:val="left"/>
                  </w:pPr>
                  <w:r>
                    <w:rPr>
                      <w:sz w:val="20"/>
                    </w:rPr>
                    <w:t>高低压电器的销售</w:t>
                  </w:r>
                </w:p>
              </w:tc>
              <w:tc>
                <w:tcPr>
                  <w:tcW w:w="3451" w:type="dxa"/>
                </w:tcPr>
                <w:p>
                  <w:pPr>
                    <w:shd w:val="clear" w:color="auto" w:fill="C7DAF1" w:themeFill="text2" w:themeFillTint="32"/>
                    <w:jc w:val="left"/>
                    <w:rPr>
                      <w:rFonts w:hint="default" w:eastAsia="宋体"/>
                      <w:lang w:val="en-US" w:eastAsia="zh-CN"/>
                    </w:rPr>
                  </w:pPr>
                  <w:r>
                    <w:rPr>
                      <w:rFonts w:hint="eastAsia" w:eastAsia="宋体"/>
                      <w:lang w:val="en-US" w:eastAsia="zh-CN"/>
                    </w:rPr>
                    <w:t>需求分析</w:t>
                  </w:r>
                </w:p>
              </w:tc>
              <w:tc>
                <w:tcPr>
                  <w:tcW w:w="3265" w:type="dxa"/>
                </w:tcPr>
                <w:p>
                  <w:pPr>
                    <w:shd w:val="clear" w:color="auto" w:fill="C7DAF1" w:themeFill="text2" w:themeFillTint="32"/>
                    <w:jc w:val="left"/>
                    <w:rPr>
                      <w:rFonts w:hint="default" w:eastAsia="宋体"/>
                      <w:lang w:val="en-US" w:eastAsia="zh-CN"/>
                    </w:rPr>
                  </w:pPr>
                  <w:r>
                    <w:rPr>
                      <w:rFonts w:hint="eastAsia" w:eastAsia="宋体"/>
                      <w:lang w:val="en-US" w:eastAsia="zh-CN"/>
                    </w:rPr>
                    <w:t>客户要求</w:t>
                  </w:r>
                </w:p>
              </w:tc>
            </w:tr>
          </w:tbl>
          <w:p>
            <w:pPr>
              <w:shd w:val="clear" w:color="auto" w:fill="C7DAF1" w:themeFill="text2" w:themeFillTint="32"/>
              <w:jc w:val="left"/>
            </w:pPr>
          </w:p>
          <w:p>
            <w:pPr>
              <w:shd w:val="clear" w:color="auto" w:fill="C7DAF1" w:themeFill="text2" w:themeFillTint="32"/>
              <w:jc w:val="left"/>
              <w:rPr>
                <w:rFonts w:hint="eastAsia" w:ascii="Times New Roman" w:hAnsi="Times New Roman" w:eastAsia="宋体" w:cs="Times New Roman"/>
              </w:rPr>
            </w:pPr>
            <w:r>
              <w:rPr>
                <w:rFonts w:hint="eastAsia"/>
              </w:rPr>
              <w:t>需要确认的过程：</w:t>
            </w:r>
            <w:r>
              <w:rPr>
                <w:rFonts w:hint="eastAsia" w:ascii="Times New Roman" w:hAnsi="Times New Roman" w:eastAsia="宋体" w:cs="Times New Roman"/>
                <w:lang w:val="en-US" w:eastAsia="zh-CN"/>
              </w:rPr>
              <w:t>销售、焊接过程</w:t>
            </w:r>
            <w:r>
              <w:rPr>
                <w:rFonts w:hint="eastAsia" w:ascii="Times New Roman" w:hAnsi="Times New Roman" w:eastAsia="宋体" w:cs="Times New Roman"/>
              </w:rPr>
              <w:t>，</w:t>
            </w:r>
          </w:p>
          <w:p>
            <w:pPr>
              <w:shd w:val="clear" w:color="auto" w:fill="C7DAF1" w:themeFill="text2" w:themeFillTint="32"/>
              <w:jc w:val="left"/>
            </w:pP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r>
              <w:rPr>
                <w:rFonts w:hint="eastAsia"/>
              </w:rPr>
              <w:t>对生产和服务提供过程的控制■符合要求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可追溯性实现：■符合要求</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配方 ■个人信息 ■其他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维修■赔偿 </w:t>
            </w:r>
            <w:r>
              <w:rPr>
                <w:rFonts w:hint="eastAsia" w:ascii="Wingdings" w:hAnsi="Wingdings"/>
              </w:rPr>
              <w:t>¨</w:t>
            </w:r>
            <w:r>
              <w:rPr>
                <w:rFonts w:hint="eastAsia"/>
              </w:rPr>
              <w:t xml:space="preserve">道歉 ■最终处置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hint="eastAsia" w:ascii="Wingdings" w:hAnsi="Wingdings"/>
              </w:rPr>
              <w:t>¨</w:t>
            </w:r>
            <w:r>
              <w:rPr>
                <w:rFonts w:hint="eastAsia"/>
              </w:rPr>
              <w:t xml:space="preserve">首件检验 ■过程检验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产品检验报告</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7</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■自我验证的结果  ■顾客投诉  ■顾客满意调查 </w:t>
            </w:r>
          </w:p>
          <w:p>
            <w:pPr>
              <w:shd w:val="clear" w:color="auto" w:fill="C7DAF1" w:themeFill="text2" w:themeFillTint="32"/>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pStyle w:val="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4</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IzNjhjZjkxMjg2OGJjOTQ0NThhNzBhOGI4YTVmYWYifQ=="/>
  </w:docVars>
  <w:rsids>
    <w:rsidRoot w:val="00000000"/>
    <w:rsid w:val="08DB07BA"/>
    <w:rsid w:val="1DB1168D"/>
    <w:rsid w:val="25E27E69"/>
    <w:rsid w:val="313553D5"/>
    <w:rsid w:val="374857F5"/>
    <w:rsid w:val="4B63146A"/>
    <w:rsid w:val="5359168B"/>
    <w:rsid w:val="5C606F6C"/>
    <w:rsid w:val="5EA033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11</TotalTime>
  <ScaleCrop>false</ScaleCrop>
  <LinksUpToDate>false</LinksUpToDate>
  <CharactersWithSpaces>21168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誰汻誰天荒地鮱</cp:lastModifiedBy>
  <cp:lastPrinted>2019-05-13T03:19:00Z</cp:lastPrinted>
  <dcterms:modified xsi:type="dcterms:W3CDTF">2022-11-08T15:00:27Z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2052-11.1.0.12763</vt:lpwstr>
  </property>
</Properties>
</file>