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8934450"/>
            <wp:effectExtent l="0" t="0" r="0" b="6350"/>
            <wp:docPr id="3" name="图片 3" descr="9c191d9fc49347088b2b88c59975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191d9fc49347088b2b88c59975f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5664835" cy="9010650"/>
            <wp:effectExtent l="0" t="0" r="12065" b="6350"/>
            <wp:docPr id="4" name="图片 4" descr="28f444276b8d727a5692c41edc1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f444276b8d727a5692c41edc13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83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1750" cy="8876030"/>
            <wp:effectExtent l="0" t="0" r="6350" b="1270"/>
            <wp:docPr id="5" name="图片 5" descr="db7a35792491e7f2f62f79fbbea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7a35792491e7f2f62f79fbbea80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87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7465" cy="8911590"/>
            <wp:effectExtent l="0" t="0" r="635" b="3810"/>
            <wp:docPr id="6" name="图片 6" descr="e9b5743eb5d3cf4301878b2f46e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9b5743eb5d3cf4301878b2f46e19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河北北铭光电设备股份有限公司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马媛媛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远程审核发现 </w:t>
            </w:r>
            <w:r>
              <w:rPr>
                <w:rFonts w:hint="eastAsia" w:ascii="方正仿宋简体" w:eastAsia="方正仿宋简体"/>
                <w:b/>
              </w:rPr>
              <w:t>提供的法律法规和其他要求清单中：中华人民共和国固体废物污染环境防治法20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05</w:t>
            </w:r>
            <w:r>
              <w:rPr>
                <w:rFonts w:hint="eastAsia" w:ascii="方正仿宋简体" w:eastAsia="方正仿宋简体"/>
                <w:b/>
              </w:rPr>
              <w:t>-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04</w:t>
            </w:r>
            <w:r>
              <w:rPr>
                <w:rFonts w:hint="eastAsia" w:ascii="方正仿宋简体" w:eastAsia="方正仿宋简体"/>
                <w:b/>
              </w:rPr>
              <w:t>-0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>、中华人民共和国消防法2009-5-1已过期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12775" cy="255905"/>
                  <wp:effectExtent l="0" t="0" r="9525" b="10795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12775" cy="299720"/>
                  <wp:effectExtent l="0" t="0" r="9525" b="5080"/>
                  <wp:docPr id="2" name="图片 2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29A05CD"/>
    <w:rsid w:val="180E1D9C"/>
    <w:rsid w:val="660F14C7"/>
    <w:rsid w:val="7A716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2022-11-07T06:46:07Z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