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1201-2022-QEO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四川福豫川企业管理有限公司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eastAsia" w:eastAsia="宋体"/>
          <w:sz w:val="28"/>
          <w:szCs w:val="28"/>
          <w:lang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四川福豫川企业管理有限公司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中国（四川）自由贸易试验区成都市高新区天府三街218号2栋9层919号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四川省成都市高新区中和大道三段281号2栋2单元10-02号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郭芳</w:t>
            </w:r>
            <w:bookmarkEnd w:id="10"/>
          </w:p>
        </w:tc>
        <w:tc>
          <w:tcPr>
            <w:tcW w:w="1313" w:type="dxa"/>
            <w:vAlign w:val="center"/>
          </w:tcPr>
          <w:p>
            <w:r>
              <w:rPr>
                <w:rFonts w:hint="eastAsia"/>
              </w:rPr>
              <w:t>电话.</w:t>
            </w:r>
          </w:p>
        </w:tc>
        <w:tc>
          <w:tcPr>
            <w:tcW w:w="2180" w:type="dxa"/>
            <w:vAlign w:val="center"/>
          </w:tcPr>
          <w:p>
            <w:bookmarkStart w:id="11" w:name="联系人电话"/>
            <w:r>
              <w:t>13648064840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郭芳</w:t>
            </w:r>
            <w:bookmarkEnd w:id="13"/>
          </w:p>
        </w:tc>
        <w:tc>
          <w:tcPr>
            <w:tcW w:w="1313" w:type="dxa"/>
            <w:vAlign w:val="center"/>
          </w:tcPr>
          <w:p>
            <w:r>
              <w:rPr>
                <w:rFonts w:hint="eastAsia"/>
              </w:rPr>
              <w:t>管理者代表</w:t>
            </w:r>
          </w:p>
        </w:tc>
        <w:tc>
          <w:tcPr>
            <w:tcW w:w="2180" w:type="dxa"/>
          </w:tcPr>
          <w:p>
            <w:bookmarkStart w:id="14" w:name="管理者代表"/>
            <w:r>
              <w:t>郭芳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szCs w:val="18"/>
              </w:rPr>
              <w:t>确定顾客群体------商务洽谈------签订合同-----采购产品---产品交付---售后服务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2022年11月05日 上午至2022年11月05日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Q：针纺织品、家具、办公用品及耗材、机电设备、管道及配件、电子工业产品、灯具、消防器材的销售</w:t>
            </w:r>
          </w:p>
          <w:p>
            <w:r>
              <w:t>E：针纺织品、家具、办公用品及耗材、机电设备、管道及配件、电子工业产品、灯具、消防器材的销售所涉及场所的相关环境管理活动</w:t>
            </w:r>
          </w:p>
          <w:p>
            <w:r>
              <w:t>O：针纺织品、家具、办公用品及耗材、机电设备、管道及配件、电子工业产品、灯具、消防器材的销售所涉及场所的相关职业健康安全管理活动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29"/>
        <w:gridCol w:w="1950"/>
        <w:gridCol w:w="795"/>
        <w:gridCol w:w="2385"/>
        <w:gridCol w:w="171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29" w:type="dxa"/>
            <w:shd w:val="clear" w:color="auto" w:fill="F3F3F3"/>
            <w:tcMar>
              <w:left w:w="57" w:type="dxa"/>
              <w:right w:w="57" w:type="dxa"/>
            </w:tcMar>
          </w:tcPr>
          <w:p>
            <w:r>
              <w:rPr>
                <w:rFonts w:hint="eastAsia"/>
              </w:rPr>
              <w:t>组织名称及注册场所地址</w:t>
            </w:r>
          </w:p>
        </w:tc>
        <w:tc>
          <w:tcPr>
            <w:tcW w:w="1950" w:type="dxa"/>
            <w:shd w:val="clear" w:color="auto" w:fill="F3F3F3"/>
            <w:tcMar>
              <w:left w:w="57" w:type="dxa"/>
              <w:right w:w="57" w:type="dxa"/>
            </w:tcMar>
          </w:tcPr>
          <w:p>
            <w:r>
              <w:rPr>
                <w:rFonts w:hint="eastAsia"/>
              </w:rPr>
              <w:t>经营场所的地址</w:t>
            </w:r>
          </w:p>
          <w:p>
            <w:r>
              <w:rPr>
                <w:rFonts w:hint="eastAsia"/>
              </w:rPr>
              <w:t>（多现场和临时现场）</w:t>
            </w:r>
          </w:p>
        </w:tc>
        <w:tc>
          <w:tcPr>
            <w:tcW w:w="795" w:type="dxa"/>
            <w:shd w:val="clear" w:color="auto" w:fill="F3F3F3"/>
            <w:tcMar>
              <w:left w:w="57" w:type="dxa"/>
              <w:right w:w="57" w:type="dxa"/>
            </w:tcMar>
          </w:tcPr>
          <w:p>
            <w:r>
              <w:rPr>
                <w:rFonts w:hint="eastAsia"/>
              </w:rPr>
              <w:t>员工人数</w:t>
            </w:r>
          </w:p>
        </w:tc>
        <w:tc>
          <w:tcPr>
            <w:tcW w:w="2385" w:type="dxa"/>
            <w:shd w:val="clear" w:color="auto" w:fill="F3F3F3"/>
            <w:tcMar>
              <w:left w:w="57" w:type="dxa"/>
              <w:right w:w="57" w:type="dxa"/>
            </w:tcMar>
          </w:tcPr>
          <w:p>
            <w:r>
              <w:rPr>
                <w:rFonts w:hint="eastAsia"/>
              </w:rPr>
              <w:t>审核范围（产品和过程）</w:t>
            </w:r>
          </w:p>
          <w:p/>
          <w:p/>
        </w:tc>
        <w:tc>
          <w:tcPr>
            <w:tcW w:w="171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29" w:type="dxa"/>
            <w:vAlign w:val="top"/>
          </w:tcPr>
          <w:p>
            <w:pPr>
              <w:spacing w:before="40" w:after="40"/>
              <w:rPr>
                <w:lang w:val="de-DE" w:eastAsia="ja-JP"/>
              </w:rPr>
            </w:pPr>
            <w:r>
              <w:rPr>
                <w:sz w:val="21"/>
                <w:szCs w:val="21"/>
              </w:rPr>
              <w:t>四川福豫川企业管理有限公司</w:t>
            </w:r>
            <w:r>
              <w:rPr>
                <w:rFonts w:hint="eastAsia"/>
                <w:sz w:val="21"/>
                <w:szCs w:val="21"/>
                <w:lang w:val="en-US" w:eastAsia="zh-CN"/>
              </w:rPr>
              <w:t>/</w:t>
            </w:r>
            <w:r>
              <w:rPr>
                <w:sz w:val="21"/>
                <w:szCs w:val="21"/>
              </w:rPr>
              <w:t>中国（四川）自由贸易试验区成都市高新区天府三街218号2栋9层919号</w:t>
            </w:r>
          </w:p>
        </w:tc>
        <w:tc>
          <w:tcPr>
            <w:tcW w:w="1950" w:type="dxa"/>
            <w:vAlign w:val="top"/>
          </w:tcPr>
          <w:p>
            <w:pPr>
              <w:spacing w:before="40" w:after="40"/>
              <w:rPr>
                <w:lang w:val="de-DE" w:eastAsia="ja-JP"/>
              </w:rPr>
            </w:pPr>
            <w:r>
              <w:rPr>
                <w:sz w:val="21"/>
                <w:szCs w:val="21"/>
              </w:rPr>
              <w:t>四川省成都市高新区中和大道三段281号2栋2单元10-02号</w:t>
            </w:r>
          </w:p>
        </w:tc>
        <w:tc>
          <w:tcPr>
            <w:tcW w:w="795" w:type="dxa"/>
            <w:vAlign w:val="center"/>
          </w:tcPr>
          <w:p>
            <w:pPr>
              <w:spacing w:before="40" w:after="40"/>
              <w:rPr>
                <w:lang w:eastAsia="ja-JP"/>
              </w:rPr>
            </w:pPr>
            <w:r>
              <w:rPr>
                <w:rFonts w:hint="eastAsia" w:eastAsia="黑体"/>
                <w:szCs w:val="21"/>
                <w:lang w:val="en-US" w:eastAsia="zh-CN"/>
              </w:rPr>
              <w:t>8</w:t>
            </w:r>
          </w:p>
        </w:tc>
        <w:tc>
          <w:tcPr>
            <w:tcW w:w="2385" w:type="dxa"/>
            <w:vAlign w:val="center"/>
          </w:tcPr>
          <w:p>
            <w:pPr>
              <w:pStyle w:val="21"/>
              <w:rPr>
                <w:lang w:eastAsia="ja-JP"/>
              </w:rPr>
            </w:pPr>
            <w:r>
              <w:t>针纺织品、家具、办公用品及耗材、机电设备、管道及配件、电子工业产品、灯具、消防器材的销售</w:t>
            </w:r>
          </w:p>
        </w:tc>
        <w:tc>
          <w:tcPr>
            <w:tcW w:w="1718" w:type="dxa"/>
            <w:vAlign w:val="center"/>
          </w:tcPr>
          <w:p>
            <w:pPr>
              <w:spacing w:before="40" w:after="40"/>
              <w:rPr>
                <w:rFonts w:hint="eastAsia" w:eastAsia="黑体"/>
                <w:szCs w:val="21"/>
                <w:lang w:eastAsia="ja-JP"/>
              </w:rPr>
            </w:pPr>
            <w:r>
              <w:rPr>
                <w:rFonts w:hint="eastAsia" w:eastAsia="黑体"/>
                <w:szCs w:val="21"/>
                <w:lang w:eastAsia="ja-JP"/>
              </w:rPr>
              <w:t>GB/T19001-2016</w:t>
            </w:r>
          </w:p>
          <w:p>
            <w:pPr>
              <w:spacing w:before="40" w:after="40"/>
              <w:rPr>
                <w:rFonts w:hint="eastAsia" w:eastAsia="黑体"/>
                <w:szCs w:val="21"/>
                <w:lang w:eastAsia="zh-CN"/>
              </w:rPr>
            </w:pPr>
            <w:r>
              <w:rPr>
                <w:rFonts w:hint="eastAsia" w:eastAsia="黑体"/>
                <w:szCs w:val="21"/>
                <w:lang w:eastAsia="zh-CN"/>
              </w:rPr>
              <w:t>GB/T24001-2016</w:t>
            </w:r>
          </w:p>
          <w:p>
            <w:pPr>
              <w:spacing w:before="40" w:after="40"/>
              <w:rPr>
                <w:lang w:eastAsia="ja-JP"/>
              </w:rPr>
            </w:pPr>
            <w:r>
              <w:rPr>
                <w:rFonts w:hint="eastAsia" w:eastAsia="黑体"/>
                <w:szCs w:val="21"/>
                <w:lang w:eastAsia="zh-CN"/>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29" w:type="dxa"/>
            <w:vAlign w:val="center"/>
          </w:tcPr>
          <w:p>
            <w:pPr>
              <w:rPr>
                <w:lang w:eastAsia="ja-JP"/>
              </w:rPr>
            </w:pPr>
          </w:p>
        </w:tc>
        <w:tc>
          <w:tcPr>
            <w:tcW w:w="1950" w:type="dxa"/>
            <w:vAlign w:val="center"/>
          </w:tcPr>
          <w:p>
            <w:pPr>
              <w:rPr>
                <w:lang w:eastAsia="ja-JP"/>
              </w:rPr>
            </w:pPr>
          </w:p>
        </w:tc>
        <w:tc>
          <w:tcPr>
            <w:tcW w:w="795" w:type="dxa"/>
            <w:vAlign w:val="center"/>
          </w:tcPr>
          <w:p>
            <w:pPr>
              <w:rPr>
                <w:lang w:eastAsia="ja-JP"/>
              </w:rPr>
            </w:pPr>
          </w:p>
        </w:tc>
        <w:tc>
          <w:tcPr>
            <w:tcW w:w="2385" w:type="dxa"/>
            <w:vAlign w:val="center"/>
          </w:tcPr>
          <w:p>
            <w:pPr>
              <w:rPr>
                <w:lang w:eastAsia="ja-JP"/>
              </w:rPr>
            </w:pPr>
          </w:p>
        </w:tc>
        <w:tc>
          <w:tcPr>
            <w:tcW w:w="171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一阶段无整改问题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spacing w:line="240" w:lineRule="auto"/>
              <w:rPr>
                <w:rFonts w:ascii="宋体" w:hAnsi="宋体" w:eastAsia="宋体" w:cs="Times New Roman"/>
                <w:b/>
                <w:color w:val="000000"/>
                <w:kern w:val="2"/>
                <w:sz w:val="21"/>
                <w:szCs w:val="21"/>
                <w:lang w:val="en-US" w:eastAsia="zh-CN" w:bidi="ar-SA"/>
              </w:rPr>
            </w:pPr>
            <w:r>
              <w:t>针纺织品、家具、办公用品及耗材、机电设备、管道及配件、电子工业产品、灯具、消防器材的销售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240" w:lineRule="auto"/>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240" w:lineRule="auto"/>
              <w:rPr>
                <w:rFonts w:ascii="宋体" w:hAnsi="宋体" w:eastAsia="宋体" w:cs="Times New Roman"/>
                <w:b/>
                <w:color w:val="000000"/>
                <w:kern w:val="2"/>
                <w:sz w:val="21"/>
                <w:szCs w:val="21"/>
                <w:lang w:val="en-US" w:eastAsia="zh-CN" w:bidi="ar-SA"/>
              </w:rPr>
            </w:pPr>
            <w:r>
              <w:t>针纺织品、家具、办公用品及耗材、机电设备、管道及配件、电子工业产品、灯具、消防器材的销售所涉及场所的相关环境管理活动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240" w:lineRule="auto"/>
              <w:rPr>
                <w:rFonts w:ascii="宋体" w:hAnsi="宋体" w:eastAsia="宋体" w:cs="Times New Roman"/>
                <w:b/>
                <w:color w:val="000000"/>
                <w:kern w:val="2"/>
                <w:sz w:val="21"/>
                <w:szCs w:val="21"/>
                <w:lang w:val="en-US" w:eastAsia="zh-CN" w:bidi="ar-SA"/>
              </w:rPr>
            </w:pPr>
            <w:r>
              <w:t>针纺织品、家具、办公用品及耗材、机电设备、管道及配件、电子工业产品、灯具、消防器材的销售所涉及场所的相关职业健康安全管理活动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258445</wp:posOffset>
                  </wp:positionH>
                  <wp:positionV relativeFrom="paragraph">
                    <wp:posOffset>9525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2022.11.5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最高管理者制定了文件化的管理体系方针：诚实守信，客户至上；真诚合作，实现双赢</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34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42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eastAsia="zh-CN"/>
                    </w:rPr>
                    <w:t>合同履约率100%</w:t>
                  </w:r>
                </w:p>
              </w:tc>
              <w:tc>
                <w:tcPr>
                  <w:tcW w:w="3420" w:type="dxa"/>
                  <w:shd w:val="clear" w:color="auto" w:fill="auto"/>
                  <w:vAlign w:val="center"/>
                </w:tcPr>
                <w:p>
                  <w:pPr>
                    <w:shd w:val="clear" w:color="auto" w:fill="C7DAF1" w:themeFill="text2" w:themeFillTint="32"/>
                    <w:rPr>
                      <w:rFonts w:hint="eastAsia" w:ascii="宋体" w:hAnsi="宋体"/>
                      <w:lang w:val="en-GB" w:eastAsia="zh-CN"/>
                    </w:rPr>
                  </w:pPr>
                  <w:r>
                    <w:rPr>
                      <w:rFonts w:hint="eastAsia" w:ascii="宋体" w:hAnsi="宋体"/>
                      <w:lang w:eastAsia="zh-CN"/>
                    </w:rPr>
                    <w:t>已按期履行合同/履行期已到总合</w:t>
                  </w:r>
                </w:p>
              </w:tc>
              <w:tc>
                <w:tcPr>
                  <w:tcW w:w="1350" w:type="dxa"/>
                  <w:shd w:val="clear" w:color="auto" w:fill="auto"/>
                  <w:vAlign w:val="center"/>
                </w:tcPr>
                <w:p>
                  <w:pPr>
                    <w:shd w:val="clear" w:color="auto" w:fill="C7DAF1" w:themeFill="text2" w:themeFillTint="32"/>
                    <w:rPr>
                      <w:rFonts w:hint="eastAsia" w:ascii="宋体" w:hAnsi="宋体"/>
                      <w:lang w:val="en-GB" w:eastAsia="zh-CN"/>
                    </w:rPr>
                  </w:pPr>
                  <w:r>
                    <w:rPr>
                      <w:rFonts w:hint="eastAsia" w:ascii="宋体" w:hAnsi="宋体"/>
                      <w:lang w:val="en-GB" w:eastAsia="zh-CN"/>
                    </w:rPr>
                    <w:t>营销部</w:t>
                  </w:r>
                </w:p>
              </w:tc>
              <w:tc>
                <w:tcPr>
                  <w:tcW w:w="1774" w:type="dxa"/>
                  <w:shd w:val="clear" w:color="auto" w:fill="auto"/>
                  <w:vAlign w:val="center"/>
                </w:tcPr>
                <w:p>
                  <w:pPr>
                    <w:shd w:val="clear" w:color="auto" w:fill="C7DAF1" w:themeFill="text2" w:themeFillTint="32"/>
                    <w:rPr>
                      <w:rFonts w:hint="eastAsia" w:ascii="宋体" w:hAnsi="宋体"/>
                      <w:lang w:val="en-GB" w:eastAsia="zh-CN"/>
                    </w:rPr>
                  </w:pPr>
                  <w:r>
                    <w:rPr>
                      <w:rFonts w:hint="eastAsia" w:ascii="宋体" w:hAnsi="宋体"/>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eastAsia="zh-CN"/>
                    </w:rPr>
                    <w:t>顾客满意率≥90%</w:t>
                  </w:r>
                </w:p>
              </w:tc>
              <w:tc>
                <w:tcPr>
                  <w:tcW w:w="3420"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eastAsia="zh-CN"/>
                    </w:rPr>
                    <w:t>依顾客满意调查表规定进行计算</w:t>
                  </w:r>
                </w:p>
              </w:tc>
              <w:tc>
                <w:tcPr>
                  <w:tcW w:w="1350" w:type="dxa"/>
                  <w:shd w:val="clear" w:color="auto" w:fill="auto"/>
                  <w:vAlign w:val="center"/>
                </w:tcPr>
                <w:p>
                  <w:pPr>
                    <w:shd w:val="clear" w:color="auto" w:fill="C7DAF1" w:themeFill="text2" w:themeFillTint="32"/>
                    <w:rPr>
                      <w:rFonts w:hint="eastAsia" w:ascii="宋体" w:hAnsi="宋体"/>
                      <w:lang w:eastAsia="zh-CN"/>
                    </w:rPr>
                  </w:pPr>
                  <w:r>
                    <w:rPr>
                      <w:rFonts w:hint="eastAsia" w:ascii="宋体" w:hAnsi="宋体"/>
                      <w:lang w:val="en-GB" w:eastAsia="zh-CN"/>
                    </w:rPr>
                    <w:t>营销部</w:t>
                  </w:r>
                </w:p>
              </w:tc>
              <w:tc>
                <w:tcPr>
                  <w:tcW w:w="1774"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shd w:val="clear" w:color="auto" w:fill="auto"/>
                </w:tcPr>
                <w:p>
                  <w:pPr>
                    <w:shd w:val="clear" w:color="auto" w:fill="C7DAF1" w:themeFill="text2" w:themeFillTint="32"/>
                  </w:pPr>
                </w:p>
              </w:tc>
              <w:tc>
                <w:tcPr>
                  <w:tcW w:w="3420"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shd w:val="clear" w:color="auto" w:fill="auto"/>
                </w:tcPr>
                <w:p>
                  <w:pPr>
                    <w:shd w:val="clear" w:color="auto" w:fill="C7DAF1" w:themeFill="text2" w:themeFillTint="32"/>
                  </w:pPr>
                </w:p>
              </w:tc>
              <w:tc>
                <w:tcPr>
                  <w:tcW w:w="3420"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shd w:val="clear" w:color="auto" w:fill="auto"/>
                </w:tcPr>
                <w:p>
                  <w:pPr>
                    <w:shd w:val="clear" w:color="auto" w:fill="C7DAF1" w:themeFill="text2" w:themeFillTint="32"/>
                  </w:pPr>
                </w:p>
              </w:tc>
              <w:tc>
                <w:tcPr>
                  <w:tcW w:w="3420"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建筑面积100平方米；生产车间0个；库房0个；实验室0个</w:t>
            </w:r>
            <w:r>
              <w:rPr>
                <w:rFonts w:hint="eastAsia"/>
              </w:rPr>
              <w:t>；</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eastAsia="zh-CN"/>
              </w:rPr>
              <w:t>电脑、打印机、路由器等办公用品</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针纺织品、家具、办公用品及耗材、机电设备、管道及配件、电子工业产品、灯具、消防器材的销售</w:t>
                  </w:r>
                </w:p>
              </w:tc>
              <w:tc>
                <w:tcPr>
                  <w:tcW w:w="3665" w:type="dxa"/>
                </w:tcPr>
                <w:p>
                  <w:pPr>
                    <w:shd w:val="clear" w:color="auto" w:fill="C7DAF1" w:themeFill="text2" w:themeFillTint="32"/>
                    <w:jc w:val="left"/>
                    <w:rPr>
                      <w:rFonts w:hint="eastAsia" w:eastAsia="宋体"/>
                      <w:lang w:eastAsia="zh-CN"/>
                    </w:rPr>
                  </w:pPr>
                  <w:r>
                    <w:rPr>
                      <w:rFonts w:hint="eastAsia"/>
                      <w:lang w:eastAsia="zh-CN"/>
                    </w:rPr>
                    <w:t>销售过程</w:t>
                  </w:r>
                </w:p>
              </w:tc>
              <w:tc>
                <w:tcPr>
                  <w:tcW w:w="3265" w:type="dxa"/>
                </w:tcPr>
                <w:p>
                  <w:pPr>
                    <w:shd w:val="clear" w:color="auto" w:fill="C7DAF1" w:themeFill="text2" w:themeFillTint="32"/>
                    <w:jc w:val="left"/>
                    <w:rPr>
                      <w:rFonts w:hint="eastAsia" w:eastAsia="宋体"/>
                      <w:lang w:eastAsia="zh-CN"/>
                    </w:rPr>
                  </w:pPr>
                  <w:r>
                    <w:rPr>
                      <w:rFonts w:hint="eastAsia"/>
                      <w:lang w:eastAsia="zh-CN"/>
                    </w:rPr>
                    <w:t>交付及时率、顾客满意度等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通过年度策划于2022年9月20日实施了质量管理体系内部审核，对质量管理体系的符合性和有效性进行了审核。内审发现的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最高管理者已按策划的时间间隔，在2022年10月14日对组织的质量管理体系进行了评审，以确保其持续的适宜性、充分性和有效性；管理评审输入、输出均按要求提供。并对提出的改进措施进行了落实。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w:t>
                  </w:r>
                  <w:r>
                    <w:rPr>
                      <w:rFonts w:hint="eastAsia"/>
                      <w:lang w:eastAsia="zh-CN"/>
                    </w:rPr>
                    <w:t>☑</w:t>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最高管理者制定了文件化的管理体系方针：遵规守法，预防污染；高效低耗，环保作业</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eastAsia" w:eastAsia="宋体"/>
                      <w:lang w:eastAsia="zh-CN"/>
                    </w:rPr>
                  </w:pPr>
                  <w:r>
                    <w:rPr>
                      <w:rFonts w:hint="eastAsia"/>
                      <w:lang w:eastAsia="zh-CN"/>
                    </w:rPr>
                    <w:t>固废排放</w:t>
                  </w:r>
                </w:p>
              </w:tc>
              <w:tc>
                <w:tcPr>
                  <w:tcW w:w="3965" w:type="dxa"/>
                </w:tcPr>
                <w:p>
                  <w:pPr>
                    <w:shd w:val="clear" w:color="auto" w:fill="EBF1DE" w:themeFill="accent3" w:themeFillTint="32"/>
                    <w:rPr>
                      <w:rFonts w:hint="eastAsia" w:eastAsia="宋体"/>
                      <w:lang w:eastAsia="zh-CN"/>
                    </w:rPr>
                  </w:pPr>
                  <w:r>
                    <w:rPr>
                      <w:rFonts w:hint="eastAsia"/>
                      <w:lang w:eastAsia="zh-CN"/>
                    </w:rPr>
                    <w:t>管理方案进行管理</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eastAsia" w:eastAsia="宋体"/>
                      <w:lang w:eastAsia="zh-CN"/>
                    </w:rPr>
                  </w:pPr>
                  <w:r>
                    <w:rPr>
                      <w:rFonts w:hint="eastAsia"/>
                      <w:lang w:eastAsia="zh-CN"/>
                    </w:rPr>
                    <w:t>潜在火灾</w:t>
                  </w:r>
                </w:p>
              </w:tc>
              <w:tc>
                <w:tcPr>
                  <w:tcW w:w="3965" w:type="dxa"/>
                </w:tcPr>
                <w:p>
                  <w:pPr>
                    <w:shd w:val="clear" w:color="auto" w:fill="EBF1DE" w:themeFill="accent3" w:themeFillTint="32"/>
                    <w:rPr>
                      <w:rFonts w:hint="eastAsia" w:eastAsia="宋体"/>
                      <w:lang w:eastAsia="zh-CN"/>
                    </w:rPr>
                  </w:pPr>
                  <w:r>
                    <w:rPr>
                      <w:rFonts w:hint="eastAsia"/>
                      <w:lang w:eastAsia="zh-CN"/>
                    </w:rPr>
                    <w:t>应急预案、管理方案进行管理</w:t>
                  </w:r>
                </w:p>
              </w:tc>
              <w:tc>
                <w:tcPr>
                  <w:tcW w:w="1717" w:type="dxa"/>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EBF1DE" w:themeFill="accent3" w:themeFillTint="32"/>
                    <w:rPr>
                      <w:rFonts w:hint="eastAsia" w:ascii="宋体" w:hAnsi="宋体"/>
                      <w:lang w:val="en-US" w:eastAsia="zh-CN"/>
                    </w:rPr>
                  </w:pPr>
                  <w:r>
                    <w:rPr>
                      <w:rFonts w:hint="eastAsia" w:ascii="宋体" w:hAnsi="宋体"/>
                      <w:lang w:eastAsia="zh-CN"/>
                    </w:rPr>
                    <w:t>固体废弃物分类收集处置率100%</w:t>
                  </w:r>
                </w:p>
              </w:tc>
              <w:tc>
                <w:tcPr>
                  <w:tcW w:w="3136"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eastAsia="zh-CN"/>
                    </w:rPr>
                    <w:t>管理方案进行管理</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EBF1DE" w:themeFill="accent3" w:themeFillTint="32"/>
                    <w:rPr>
                      <w:rFonts w:hint="eastAsia" w:ascii="宋体" w:hAnsi="宋体"/>
                      <w:lang w:val="en-US" w:eastAsia="zh-CN"/>
                    </w:rPr>
                  </w:pPr>
                  <w:r>
                    <w:rPr>
                      <w:rFonts w:hint="eastAsia" w:ascii="宋体" w:hAnsi="宋体"/>
                      <w:lang w:eastAsia="zh-CN"/>
                    </w:rPr>
                    <w:t>火灾事故为零</w:t>
                  </w:r>
                </w:p>
              </w:tc>
              <w:tc>
                <w:tcPr>
                  <w:tcW w:w="3136"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eastAsia="zh-CN"/>
                    </w:rPr>
                    <w:t>应急预案、管理方案进行管理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建筑面积100平方米；生产车间0个；库房0个；实验室0个</w:t>
            </w:r>
            <w:r>
              <w:rPr>
                <w:rFonts w:hint="eastAsia"/>
              </w:rPr>
              <w:t>；</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eastAsia="zh-CN"/>
              </w:rPr>
              <w:t>电脑、打印机、路由器等办公设备</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管理方案进行控制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eastAsia="zh-CN"/>
                    </w:rPr>
                  </w:pPr>
                  <w:r>
                    <w:rPr>
                      <w:rFonts w:hint="eastAsia"/>
                      <w:lang w:eastAsia="zh-CN"/>
                    </w:rPr>
                    <w:t>应急预案、管理方案进行控制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于2022年5月26日进行了</w:t>
            </w:r>
            <w:r>
              <w:rPr>
                <w:rFonts w:hint="eastAsia"/>
                <w:lang w:eastAsia="zh-CN"/>
              </w:rPr>
              <w:t>火灾</w:t>
            </w:r>
            <w:r>
              <w:rPr>
                <w:rFonts w:hint="eastAsia"/>
              </w:rPr>
              <w:t>的</w:t>
            </w:r>
            <w:r>
              <w:rPr>
                <w:rFonts w:hint="eastAsia"/>
                <w:lang w:eastAsia="zh-CN"/>
              </w:rPr>
              <w:t>应急</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通过年度策划于2022年9月20日实施了环境管理体系内部审核，对环境管理体系的符合性和有效性进行了审核。内审发现的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最高管理者已按策划的时间间隔，在2022年10月14日对组织的环境管理体系进行了评审，以确保其持续的适宜性、充分性和有效性；管理评审输入、输出均按要求提供。并对提出的改进措施进行了落实。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最高管理者制定了文件化的职业健康安全管理体系方针：安全第一，预防为主；健康向上，共建和谐</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营销部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李福全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eastAsia="zh-CN"/>
                    </w:rPr>
                  </w:pPr>
                  <w:r>
                    <w:rPr>
                      <w:rFonts w:hint="eastAsia"/>
                      <w:lang w:eastAsia="zh-CN"/>
                    </w:rPr>
                    <w:t>火灾</w:t>
                  </w:r>
                </w:p>
              </w:tc>
              <w:tc>
                <w:tcPr>
                  <w:tcW w:w="3965" w:type="dxa"/>
                </w:tcPr>
                <w:p>
                  <w:pPr>
                    <w:rPr>
                      <w:rFonts w:hint="eastAsia" w:eastAsia="宋体"/>
                      <w:lang w:eastAsia="zh-CN"/>
                    </w:rPr>
                  </w:pPr>
                  <w:r>
                    <w:rPr>
                      <w:rFonts w:hint="eastAsia"/>
                      <w:lang w:eastAsia="zh-CN"/>
                    </w:rPr>
                    <w:t>应急预案、管理方案进行控制</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eastAsia="zh-CN"/>
                    </w:rPr>
                  </w:pPr>
                  <w:r>
                    <w:rPr>
                      <w:rFonts w:hint="eastAsia"/>
                      <w:lang w:eastAsia="zh-CN"/>
                    </w:rPr>
                    <w:t>触电</w:t>
                  </w:r>
                </w:p>
              </w:tc>
              <w:tc>
                <w:tcPr>
                  <w:tcW w:w="3965"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应急预案、管理方案进行控制</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lang w:val="en-US" w:eastAsia="zh-CN"/>
                    </w:rPr>
                  </w:pPr>
                  <w:r>
                    <w:rPr>
                      <w:rFonts w:hint="eastAsia"/>
                      <w:lang w:eastAsia="zh-CN"/>
                    </w:rPr>
                    <w:t>火灾触电事故为零</w:t>
                  </w:r>
                </w:p>
              </w:tc>
              <w:tc>
                <w:tcPr>
                  <w:tcW w:w="3136" w:type="dxa"/>
                  <w:shd w:val="clear" w:color="auto" w:fill="auto"/>
                  <w:vAlign w:val="center"/>
                </w:tcPr>
                <w:p>
                  <w:pPr>
                    <w:rPr>
                      <w:lang w:val="en-GB"/>
                    </w:rPr>
                  </w:pPr>
                  <w:r>
                    <w:rPr>
                      <w:rFonts w:hint="eastAsia"/>
                      <w:lang w:eastAsia="zh-CN"/>
                    </w:rPr>
                    <w:t>应急预案、管理方案进行控制</w:t>
                  </w:r>
                </w:p>
              </w:tc>
              <w:tc>
                <w:tcPr>
                  <w:tcW w:w="1350" w:type="dxa"/>
                  <w:shd w:val="clear" w:color="auto" w:fill="auto"/>
                  <w:vAlign w:val="center"/>
                </w:tcPr>
                <w:p>
                  <w:pPr>
                    <w:rPr>
                      <w:rFonts w:hint="eastAsia" w:eastAsia="宋体"/>
                      <w:lang w:val="en-GB" w:eastAsia="zh-CN"/>
                    </w:rPr>
                  </w:pPr>
                  <w:r>
                    <w:rPr>
                      <w:rFonts w:hint="eastAsia"/>
                      <w:lang w:val="en-GB" w:eastAsia="zh-CN"/>
                    </w:rPr>
                    <w:t>营销部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lang w:val="en-US" w:eastAsia="zh-CN"/>
                    </w:rPr>
                  </w:pPr>
                  <w:r>
                    <w:rPr>
                      <w:rFonts w:hint="eastAsia"/>
                      <w:lang w:eastAsia="zh-CN"/>
                    </w:rPr>
                    <w:t>人身伤亡为零</w:t>
                  </w:r>
                </w:p>
              </w:tc>
              <w:tc>
                <w:tcPr>
                  <w:tcW w:w="3136" w:type="dxa"/>
                  <w:shd w:val="clear" w:color="auto" w:fill="auto"/>
                  <w:vAlign w:val="center"/>
                </w:tcPr>
                <w:p>
                  <w:pPr>
                    <w:rPr>
                      <w:rFonts w:ascii="宋体" w:hAnsi="宋体"/>
                    </w:rPr>
                  </w:pPr>
                  <w:r>
                    <w:rPr>
                      <w:rFonts w:hint="eastAsia"/>
                      <w:lang w:eastAsia="zh-CN"/>
                    </w:rPr>
                    <w:t>应急预案、管理方案进行控制</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营销部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建筑面积100平方米；生产车间0个；库房0个；实验室0个</w:t>
            </w:r>
            <w:r>
              <w:rPr>
                <w:rFonts w:hint="eastAsia"/>
              </w:rPr>
              <w:t>；</w:t>
            </w:r>
          </w:p>
          <w:p>
            <w:pPr>
              <w:rPr>
                <w:u w:val="single"/>
              </w:rPr>
            </w:pPr>
            <w:r>
              <w:rPr>
                <w:rFonts w:hint="eastAsia"/>
              </w:rPr>
              <w:t>主要生产设备有：</w:t>
            </w:r>
            <w:r>
              <w:rPr>
                <w:rFonts w:hint="eastAsia"/>
                <w:u w:val="single"/>
              </w:rPr>
              <w:t>（</w:t>
            </w:r>
            <w:r>
              <w:rPr>
                <w:rFonts w:hint="eastAsia"/>
                <w:u w:val="single"/>
                <w:lang w:eastAsia="zh-CN"/>
              </w:rPr>
              <w:t>电脑、打印机、路由器等办公设备</w:t>
            </w:r>
            <w:r>
              <w:rPr>
                <w:rFonts w:hint="eastAsia"/>
                <w:u w:val="single"/>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应急预案、管理方案</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于2022年5月26日进行了</w:t>
            </w:r>
            <w:r>
              <w:rPr>
                <w:rFonts w:hint="eastAsia"/>
                <w:lang w:eastAsia="zh-CN"/>
              </w:rPr>
              <w:t>火灾</w:t>
            </w:r>
            <w:r>
              <w:rPr>
                <w:rFonts w:hint="eastAsia"/>
              </w:rPr>
              <w:t>的</w:t>
            </w:r>
            <w:r>
              <w:rPr>
                <w:rFonts w:hint="eastAsia"/>
                <w:lang w:eastAsia="zh-CN"/>
              </w:rPr>
              <w:t>应急</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16</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通过年度策划于2022年9月20日实施了职业健康安全管理体系内部审核，对职业健康安全管理体系的符合性和有效性进行了审核。内审发现的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最高管理者已按策划的时间间隔，在2022年10月14日对组织的职业健康安全管理体系进行了评审，以确保其持续的适宜性、充分性和有效性；管理评审输入、输出均按要求提供。并对提出的改进措施进行了落实。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bookmarkStart w:id="34" w:name="_GoBack"/>
      <w:bookmarkEnd w:id="34"/>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0A87F74"/>
    <w:rsid w:val="022A6766"/>
    <w:rsid w:val="03212322"/>
    <w:rsid w:val="03BB1D6C"/>
    <w:rsid w:val="059C5BCD"/>
    <w:rsid w:val="0AD025A1"/>
    <w:rsid w:val="0BED0F30"/>
    <w:rsid w:val="0CCB5BAD"/>
    <w:rsid w:val="0CF85DDF"/>
    <w:rsid w:val="0E250E55"/>
    <w:rsid w:val="111A38EF"/>
    <w:rsid w:val="149503B7"/>
    <w:rsid w:val="16930926"/>
    <w:rsid w:val="18A3607E"/>
    <w:rsid w:val="19722A75"/>
    <w:rsid w:val="1B5C39DD"/>
    <w:rsid w:val="1D7C3EC2"/>
    <w:rsid w:val="211663DC"/>
    <w:rsid w:val="267232F0"/>
    <w:rsid w:val="279F35CF"/>
    <w:rsid w:val="28137B19"/>
    <w:rsid w:val="29A24CB1"/>
    <w:rsid w:val="2B2A7653"/>
    <w:rsid w:val="2B7803BF"/>
    <w:rsid w:val="2BBB64FD"/>
    <w:rsid w:val="2C867FC2"/>
    <w:rsid w:val="2E9C43C4"/>
    <w:rsid w:val="2F2148C9"/>
    <w:rsid w:val="2FCA31B3"/>
    <w:rsid w:val="35867372"/>
    <w:rsid w:val="36E96615"/>
    <w:rsid w:val="3806412E"/>
    <w:rsid w:val="39E135D3"/>
    <w:rsid w:val="3A15327D"/>
    <w:rsid w:val="3A192D6D"/>
    <w:rsid w:val="3B5953EB"/>
    <w:rsid w:val="3F961829"/>
    <w:rsid w:val="3FC10C55"/>
    <w:rsid w:val="42A17DA3"/>
    <w:rsid w:val="430420E0"/>
    <w:rsid w:val="464B7318"/>
    <w:rsid w:val="48482A6F"/>
    <w:rsid w:val="4F2A6A41"/>
    <w:rsid w:val="507E1724"/>
    <w:rsid w:val="51AC0513"/>
    <w:rsid w:val="53901E9A"/>
    <w:rsid w:val="56186177"/>
    <w:rsid w:val="56D54068"/>
    <w:rsid w:val="5DB03139"/>
    <w:rsid w:val="5F3E2123"/>
    <w:rsid w:val="5F867CB5"/>
    <w:rsid w:val="5FCD244A"/>
    <w:rsid w:val="603B4F3C"/>
    <w:rsid w:val="61C50478"/>
    <w:rsid w:val="6627352F"/>
    <w:rsid w:val="678B55B6"/>
    <w:rsid w:val="678E0047"/>
    <w:rsid w:val="67DD0FCE"/>
    <w:rsid w:val="67E76EA1"/>
    <w:rsid w:val="684B418A"/>
    <w:rsid w:val="696574CD"/>
    <w:rsid w:val="6C164AAF"/>
    <w:rsid w:val="708C533F"/>
    <w:rsid w:val="71F4319C"/>
    <w:rsid w:val="72C2329A"/>
    <w:rsid w:val="73C03C7E"/>
    <w:rsid w:val="786F1458"/>
    <w:rsid w:val="7A262361"/>
    <w:rsid w:val="7A501527"/>
    <w:rsid w:val="7CB60F13"/>
    <w:rsid w:val="7E2E3EDA"/>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ind w:firstLine="420"/>
    </w:pPr>
    <w:rPr>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2022-11-04T04:43:22Z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