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1194-2021-E-2022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霸州市尚益校具有限公司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霸州市尚益校具有限公司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河北省廊坊市霸州市胜芳镇西董家堡村</w:t>
            </w:r>
            <w:bookmarkEnd w:id="6"/>
          </w:p>
        </w:tc>
        <w:tc>
          <w:tcPr>
            <w:tcW w:w="1242" w:type="dxa"/>
            <w:vMerge w:val="restart"/>
            <w:vAlign w:val="center"/>
          </w:tcPr>
          <w:p>
            <w:r>
              <w:rPr>
                <w:rFonts w:hint="eastAsia"/>
              </w:rPr>
              <w:t>邮编</w:t>
            </w:r>
          </w:p>
        </w:tc>
        <w:tc>
          <w:tcPr>
            <w:tcW w:w="1771" w:type="dxa"/>
          </w:tcPr>
          <w:p>
            <w:bookmarkStart w:id="7" w:name="注册邮编"/>
            <w:r>
              <w:t>065701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河北省廊坊市霸州市胜芳镇西董家堡村</w:t>
            </w:r>
            <w:bookmarkEnd w:id="8"/>
          </w:p>
        </w:tc>
        <w:tc>
          <w:tcPr>
            <w:tcW w:w="1242" w:type="dxa"/>
            <w:vMerge w:val="continue"/>
            <w:vAlign w:val="center"/>
          </w:tcPr>
          <w:p/>
        </w:tc>
        <w:tc>
          <w:tcPr>
            <w:tcW w:w="1771" w:type="dxa"/>
          </w:tcPr>
          <w:p>
            <w:bookmarkStart w:id="9" w:name="办公邮编"/>
            <w:r>
              <w:t>065701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尚学凯</w:t>
            </w:r>
            <w:bookmarkEnd w:id="10"/>
          </w:p>
        </w:tc>
        <w:tc>
          <w:tcPr>
            <w:tcW w:w="1313" w:type="dxa"/>
            <w:vAlign w:val="center"/>
          </w:tcPr>
          <w:p>
            <w:r>
              <w:rPr>
                <w:rFonts w:hint="eastAsia"/>
              </w:rPr>
              <w:t>电话.</w:t>
            </w:r>
          </w:p>
        </w:tc>
        <w:tc>
          <w:tcPr>
            <w:tcW w:w="2180" w:type="dxa"/>
            <w:vAlign w:val="center"/>
          </w:tcPr>
          <w:p>
            <w:bookmarkStart w:id="11" w:name="联系人电话"/>
            <w:r>
              <w:t>18410259001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尚学凯</w:t>
            </w:r>
            <w:bookmarkEnd w:id="13"/>
          </w:p>
        </w:tc>
        <w:tc>
          <w:tcPr>
            <w:tcW w:w="1313" w:type="dxa"/>
            <w:vAlign w:val="center"/>
          </w:tcPr>
          <w:p>
            <w:r>
              <w:rPr>
                <w:rFonts w:hint="eastAsia"/>
              </w:rPr>
              <w:t>管理者代表</w:t>
            </w:r>
          </w:p>
        </w:tc>
        <w:tc>
          <w:tcPr>
            <w:tcW w:w="2180" w:type="dxa"/>
          </w:tcPr>
          <w:p>
            <w:bookmarkStart w:id="14" w:name="管理者代表"/>
            <w:r>
              <w:t>尚学凯</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color w:val="000000"/>
              </w:rPr>
              <w:t>生产/服务流程图</w:t>
            </w:r>
            <w:r>
              <w:rPr>
                <w:rFonts w:hint="eastAsia"/>
                <w:color w:val="000000"/>
                <w:lang w:eastAsia="zh-CN"/>
              </w:rPr>
              <w:t>：</w:t>
            </w:r>
            <w:r>
              <w:rPr>
                <w:rFonts w:hint="eastAsia"/>
                <w:color w:val="000000"/>
                <w:lang w:val="en-US" w:eastAsia="zh-CN"/>
              </w:rPr>
              <w:t>接受客户意向订单</w:t>
            </w:r>
            <w:r>
              <w:rPr>
                <w:rFonts w:hint="eastAsia" w:ascii="Times New Roman" w:hAnsi="Times New Roman" w:eastAsia="宋体" w:cs="Times New Roman"/>
                <w:color w:val="000000"/>
              </w:rPr>
              <w:t>→</w:t>
            </w:r>
            <w:r>
              <w:rPr>
                <w:rFonts w:hint="eastAsia" w:cs="Times New Roman"/>
                <w:color w:val="000000"/>
                <w:lang w:val="en-US" w:eastAsia="zh-CN"/>
              </w:rPr>
              <w:t>合同评审</w:t>
            </w:r>
            <w:r>
              <w:rPr>
                <w:rFonts w:hint="eastAsia" w:ascii="Times New Roman" w:hAnsi="Times New Roman" w:eastAsia="宋体" w:cs="Times New Roman"/>
                <w:color w:val="000000"/>
              </w:rPr>
              <w:t>→</w:t>
            </w:r>
            <w:r>
              <w:rPr>
                <w:rFonts w:hint="eastAsia" w:cs="Times New Roman"/>
                <w:color w:val="000000"/>
                <w:lang w:val="en-US" w:eastAsia="zh-CN"/>
              </w:rPr>
              <w:t>签订合同</w:t>
            </w:r>
            <w:r>
              <w:rPr>
                <w:rFonts w:hint="eastAsia" w:ascii="Times New Roman" w:hAnsi="Times New Roman" w:eastAsia="宋体" w:cs="Times New Roman"/>
                <w:color w:val="000000"/>
              </w:rPr>
              <w:t>→</w:t>
            </w:r>
            <w:r>
              <w:rPr>
                <w:rFonts w:hint="eastAsia" w:cs="Times New Roman"/>
                <w:color w:val="000000"/>
                <w:lang w:val="en-US" w:eastAsia="zh-CN"/>
              </w:rPr>
              <w:t>下达生产任务单（组织生产）</w:t>
            </w:r>
            <w:r>
              <w:rPr>
                <w:rFonts w:hint="eastAsia" w:ascii="Times New Roman" w:hAnsi="Times New Roman" w:eastAsia="宋体" w:cs="Times New Roman"/>
                <w:color w:val="000000"/>
              </w:rPr>
              <w:t>→</w:t>
            </w:r>
            <w:r>
              <w:rPr>
                <w:rFonts w:hint="eastAsia" w:cs="Times New Roman"/>
                <w:color w:val="000000"/>
                <w:lang w:val="en-US" w:eastAsia="zh-CN"/>
              </w:rPr>
              <w:t>客户验收</w:t>
            </w:r>
            <w:r>
              <w:rPr>
                <w:rFonts w:hint="eastAsia" w:ascii="Times New Roman" w:hAnsi="Times New Roman" w:eastAsia="宋体" w:cs="Times New Roman"/>
                <w:color w:val="000000"/>
              </w:rPr>
              <w:t>→</w:t>
            </w:r>
            <w:r>
              <w:rPr>
                <w:rFonts w:hint="eastAsia" w:cs="Times New Roman"/>
                <w:color w:val="000000"/>
                <w:lang w:val="en-US" w:eastAsia="zh-CN"/>
              </w:rPr>
              <w:t>交付</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2022年11月09日 上午至2022年11月09日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河北省廊坊市霸州市胜芳镇西董家堡村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办公家具、校具（课桌椅、学生床、柜子、餐桌椅、椅子）的销售所涉及场所的相关环境管理活动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29.08.07;29.10.05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11-12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2025</w:t>
            </w:r>
            <w:r>
              <w:rPr>
                <w:rFonts w:hint="eastAsia"/>
              </w:rPr>
              <w:t>年</w:t>
            </w:r>
            <w:r>
              <w:rPr>
                <w:rFonts w:hint="eastAsia"/>
                <w:lang w:val="en-US" w:eastAsia="zh-CN"/>
              </w:rPr>
              <w:t>1</w:t>
            </w:r>
            <w:r>
              <w:rPr>
                <w:rFonts w:hint="eastAsia"/>
              </w:rPr>
              <w:t>月</w:t>
            </w:r>
            <w:r>
              <w:rPr>
                <w:rFonts w:hint="eastAsia"/>
                <w:lang w:val="en-US" w:eastAsia="zh-CN"/>
              </w:rPr>
              <w:t>26</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霸州市尚益校具有限公司</w:t>
            </w:r>
            <w:r>
              <w:rPr>
                <w:rFonts w:hint="eastAsia"/>
                <w:sz w:val="21"/>
                <w:szCs w:val="21"/>
                <w:lang w:val="en-US" w:eastAsia="zh-CN"/>
              </w:rPr>
              <w:t>/</w:t>
            </w:r>
            <w:r>
              <w:rPr>
                <w:rFonts w:asciiTheme="minorEastAsia" w:hAnsiTheme="minorEastAsia" w:eastAsiaTheme="minorEastAsia"/>
                <w:sz w:val="20"/>
              </w:rPr>
              <w:t>河北省廊坊市霸州市胜芳镇西董家堡村</w:t>
            </w:r>
          </w:p>
        </w:tc>
        <w:tc>
          <w:tcPr>
            <w:tcW w:w="2267" w:type="dxa"/>
          </w:tcPr>
          <w:p>
            <w:pPr>
              <w:rPr>
                <w:lang w:val="de-DE" w:eastAsia="ja-JP"/>
              </w:rPr>
            </w:pPr>
            <w:r>
              <w:rPr>
                <w:rFonts w:asciiTheme="minorEastAsia" w:hAnsiTheme="minorEastAsia" w:eastAsiaTheme="minorEastAsia"/>
                <w:sz w:val="20"/>
              </w:rPr>
              <w:t>河北省廊坊市霸州市胜芳镇西董家堡村</w:t>
            </w:r>
          </w:p>
        </w:tc>
        <w:tc>
          <w:tcPr>
            <w:tcW w:w="571" w:type="dxa"/>
            <w:vAlign w:val="center"/>
          </w:tcPr>
          <w:p>
            <w:pPr>
              <w:rPr>
                <w:rFonts w:hint="default" w:eastAsia="宋体"/>
                <w:lang w:val="en-US" w:eastAsia="zh-CN"/>
              </w:rPr>
            </w:pPr>
            <w:r>
              <w:rPr>
                <w:rFonts w:hint="eastAsia"/>
                <w:lang w:val="en-US" w:eastAsia="zh-CN"/>
              </w:rPr>
              <w:t>20人</w:t>
            </w:r>
          </w:p>
        </w:tc>
        <w:tc>
          <w:tcPr>
            <w:tcW w:w="2803" w:type="dxa"/>
            <w:vAlign w:val="center"/>
          </w:tcPr>
          <w:p>
            <w:pPr>
              <w:rPr>
                <w:lang w:eastAsia="ja-JP"/>
              </w:rPr>
            </w:pPr>
            <w:r>
              <w:rPr>
                <w:sz w:val="20"/>
              </w:rPr>
              <w:t>办公家具、校具（课桌椅、学生床、柜子、餐桌椅、椅子）的销售所涉及场所的相关环境管理活动</w:t>
            </w:r>
          </w:p>
        </w:tc>
        <w:tc>
          <w:tcPr>
            <w:tcW w:w="669" w:type="dxa"/>
            <w:vAlign w:val="center"/>
          </w:tcPr>
          <w:p>
            <w:pPr>
              <w:rPr>
                <w:lang w:eastAsia="ja-JP"/>
              </w:rPr>
            </w:pPr>
            <w:r>
              <w:rPr>
                <w:rFonts w:hint="eastAsia" w:ascii="宋体" w:hAnsi="宋体"/>
                <w:b/>
                <w:sz w:val="21"/>
                <w:szCs w:val="21"/>
              </w:rPr>
              <w:t>B/T24001-2016</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2020-N1EMS-2219448</w:t>
            </w:r>
          </w:p>
        </w:tc>
        <w:tc>
          <w:tcPr>
            <w:tcW w:w="2179" w:type="dxa"/>
            <w:vAlign w:val="center"/>
          </w:tcPr>
          <w:p>
            <w:r>
              <w:t>29.08.07,29.10.05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w:t>
      </w:r>
      <w:r>
        <w:rPr>
          <w:rFonts w:hint="eastAsia"/>
        </w:rPr>
        <w:sym w:font="Wingdings 2" w:char="0052"/>
      </w:r>
      <w:r>
        <w:rPr>
          <w:rFonts w:hint="eastAsia"/>
        </w:rPr>
        <w:t>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办公家具、校具（课桌椅、学生床、柜子、餐桌椅、椅子）的销售所涉及场所的相关环境管理活动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bookmarkStart w:id="34" w:name="_GoBack"/>
            <w:bookmarkEnd w:id="34"/>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2336" behindDoc="0" locked="0" layoutInCell="1" allowOverlap="1">
                  <wp:simplePos x="0" y="0"/>
                  <wp:positionH relativeFrom="column">
                    <wp:posOffset>290830</wp:posOffset>
                  </wp:positionH>
                  <wp:positionV relativeFrom="paragraph">
                    <wp:posOffset>28575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r>
                    <w:rPr>
                      <w:rFonts w:hint="eastAsia"/>
                    </w:rPr>
                    <w:t>外部环境</w:t>
                  </w:r>
                </w:p>
              </w:tc>
              <w:tc>
                <w:tcPr>
                  <w:tcW w:w="7375" w:type="dxa"/>
                  <w:vAlign w:val="top"/>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r>
                    <w:rPr>
                      <w:rFonts w:hint="eastAsia"/>
                    </w:rPr>
                    <w:t>内部环境</w:t>
                  </w:r>
                </w:p>
              </w:tc>
              <w:tc>
                <w:tcPr>
                  <w:tcW w:w="7375" w:type="dxa"/>
                  <w:vAlign w:val="top"/>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lang w:val="en-US" w:eastAsia="zh-CN"/>
              </w:rPr>
              <w:t>遵守法规、预防污染</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numPr>
                      <w:ilvl w:val="0"/>
                      <w:numId w:val="0"/>
                    </w:numPr>
                    <w:ind w:left="0" w:leftChars="0" w:firstLine="0" w:firstLineChars="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风险：法律法规对行业的要求越来越高，公司的管理制度不能及时跟进，导致存在经营风险。由于生产、销售活动，会产生一定的对环境的影响和产生一定的不安全因素。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机遇：政策越严格，不规范的企业就不能生存，市场就会越来越大。在公司加强管理的前提下前景会越来越好。在公司正常运行的前提下，为了加强对环境的保护，垃圾进行分类回收，杜绝安全事故的隐患，减少汽车等运输车辆的使用，以减少噪声和废气的产生</w:t>
                  </w:r>
                </w:p>
              </w:tc>
              <w:tc>
                <w:tcPr>
                  <w:tcW w:w="3965" w:type="dxa"/>
                  <w:vAlign w:val="top"/>
                </w:tcPr>
                <w:p>
                  <w:pPr>
                    <w:widowControl/>
                    <w:numPr>
                      <w:ilvl w:val="0"/>
                      <w:numId w:val="0"/>
                    </w:numPr>
                    <w:ind w:left="0" w:leftChars="0" w:firstLine="0" w:firstLineChars="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及时通过网络、同行业、会议等形式收集最新的法律法规和标准；对法律法规进行识别，了解最新的要求和公司适用的条款，寻找公司的不满足之处，制定方案，确保公司满足相关法律法规和标准的要求；组织相关员工学习新的法律法规和标准知识。加强员工的环境意识，降低由于生产、销售活动对环境的影响，加强安全意识，杜绝安全事故的发生。</w:t>
                  </w:r>
                </w:p>
              </w:tc>
              <w:tc>
                <w:tcPr>
                  <w:tcW w:w="1717" w:type="dxa"/>
                  <w:vAlign w:val="top"/>
                </w:tcPr>
                <w:p>
                  <w:pPr>
                    <w:widowControl/>
                    <w:numPr>
                      <w:ilvl w:val="0"/>
                      <w:numId w:val="0"/>
                    </w:numPr>
                    <w:ind w:left="0" w:leftChars="0" w:firstLine="0" w:firstLineChars="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numPr>
                      <w:ilvl w:val="0"/>
                      <w:numId w:val="0"/>
                    </w:numPr>
                    <w:ind w:left="0" w:leftChars="0" w:firstLine="0" w:firstLineChars="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风险：经营不善导致资金短缺，因为资金短缺导致各种投入不足，致使经营不到位，造成恶性循环</w:t>
                  </w:r>
                  <w:r>
                    <w:rPr>
                      <w:rFonts w:hint="eastAsia" w:ascii="宋体" w:hAnsi="宋体" w:eastAsia="宋体" w:cs="宋体"/>
                      <w:color w:val="000000"/>
                      <w:kern w:val="0"/>
                      <w:sz w:val="18"/>
                      <w:szCs w:val="18"/>
                      <w:lang w:eastAsia="zh-CN" w:bidi="ar"/>
                    </w:rPr>
                    <w:t>。</w:t>
                  </w:r>
                </w:p>
              </w:tc>
              <w:tc>
                <w:tcPr>
                  <w:tcW w:w="3965" w:type="dxa"/>
                  <w:vAlign w:val="top"/>
                </w:tcPr>
                <w:p>
                  <w:pPr>
                    <w:widowControl/>
                    <w:numPr>
                      <w:ilvl w:val="0"/>
                      <w:numId w:val="0"/>
                    </w:numPr>
                    <w:ind w:left="0" w:leftChars="0" w:firstLine="0" w:firstLineChars="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财务负责每日的财务支出明细，每月进行财务分析，严格控制成本核算；与领导层和投资方进行沟通，确保公司资金投入得到保障。</w:t>
                  </w:r>
                </w:p>
              </w:tc>
              <w:tc>
                <w:tcPr>
                  <w:tcW w:w="1717" w:type="dxa"/>
                  <w:vAlign w:val="top"/>
                </w:tcPr>
                <w:p>
                  <w:pPr>
                    <w:widowControl/>
                    <w:numPr>
                      <w:ilvl w:val="0"/>
                      <w:numId w:val="0"/>
                    </w:numPr>
                    <w:ind w:left="0" w:leftChars="0" w:firstLine="0" w:firstLineChars="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能源消耗□资源消耗</w:t>
            </w:r>
            <w:r>
              <w:rPr>
                <w:rFonts w:hint="eastAsia"/>
              </w:rPr>
              <w:sym w:font="Wingdings 2" w:char="0052"/>
            </w:r>
            <w:r>
              <w:rPr>
                <w:rFonts w:hint="eastAsia"/>
              </w:rPr>
              <w:t>废水排放□废气排放□粉尘排放</w:t>
            </w:r>
            <w:r>
              <w:rPr>
                <w:rFonts w:hint="eastAsia"/>
              </w:rPr>
              <w:sym w:font="Wingdings 2" w:char="0052"/>
            </w:r>
            <w:r>
              <w:rPr>
                <w:rFonts w:hint="eastAsia"/>
                <w:lang w:val="en-US" w:eastAsia="zh-CN"/>
              </w:rPr>
              <w:t>固废</w:t>
            </w:r>
            <w:r>
              <w:rPr>
                <w:rFonts w:hint="eastAsia"/>
              </w:rPr>
              <w:t>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5040"/>
              <w:gridCol w:w="747"/>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spacing w:before="58" w:line="184" w:lineRule="auto"/>
                    <w:jc w:val="both"/>
                    <w:rPr>
                      <w:color w:val="000000"/>
                      <w:szCs w:val="18"/>
                    </w:rPr>
                  </w:pPr>
                  <w:r>
                    <w:rPr>
                      <w:rFonts w:hint="eastAsia" w:ascii="宋体" w:hAnsi="宋体" w:cs="宋体"/>
                      <w:spacing w:val="-17"/>
                      <w:w w:val="97"/>
                      <w:sz w:val="18"/>
                      <w:szCs w:val="18"/>
                      <w:lang w:val="en-US" w:eastAsia="zh-CN"/>
                    </w:rPr>
                    <w:t>目</w:t>
                  </w:r>
                  <w:r>
                    <w:rPr>
                      <w:rFonts w:ascii="宋体" w:hAnsi="宋体" w:eastAsia="宋体" w:cs="宋体"/>
                      <w:spacing w:val="-17"/>
                      <w:w w:val="97"/>
                      <w:sz w:val="18"/>
                      <w:szCs w:val="18"/>
                    </w:rPr>
                    <w:t>标</w:t>
                  </w:r>
                </w:p>
              </w:tc>
              <w:tc>
                <w:tcPr>
                  <w:tcW w:w="5878" w:type="dxa"/>
                  <w:vAlign w:val="top"/>
                </w:tcPr>
                <w:p>
                  <w:pPr>
                    <w:spacing w:before="58" w:line="184" w:lineRule="auto"/>
                    <w:rPr>
                      <w:color w:val="000000"/>
                      <w:szCs w:val="18"/>
                    </w:rPr>
                  </w:pPr>
                  <w:r>
                    <w:rPr>
                      <w:rFonts w:ascii="宋体" w:hAnsi="宋体" w:eastAsia="宋体" w:cs="宋体"/>
                      <w:spacing w:val="-1"/>
                      <w:sz w:val="18"/>
                      <w:szCs w:val="18"/>
                    </w:rPr>
                    <w:t>管理方案及措施</w:t>
                  </w:r>
                </w:p>
              </w:tc>
              <w:tc>
                <w:tcPr>
                  <w:tcW w:w="810" w:type="dxa"/>
                </w:tcPr>
                <w:p>
                  <w:pPr>
                    <w:widowControl/>
                    <w:spacing w:before="40"/>
                    <w:jc w:val="left"/>
                    <w:rPr>
                      <w:rFonts w:hint="eastAsia" w:eastAsia="宋体"/>
                      <w:color w:val="000000"/>
                      <w:szCs w:val="18"/>
                      <w:lang w:val="en-US" w:eastAsia="zh-CN"/>
                    </w:rPr>
                  </w:pPr>
                  <w:r>
                    <w:rPr>
                      <w:rFonts w:hint="eastAsia"/>
                      <w:color w:val="000000"/>
                      <w:szCs w:val="18"/>
                      <w:lang w:val="en-US" w:eastAsia="zh-CN"/>
                    </w:rPr>
                    <w:t>周期</w:t>
                  </w:r>
                </w:p>
              </w:tc>
              <w:tc>
                <w:tcPr>
                  <w:tcW w:w="2261" w:type="dxa"/>
                  <w:vAlign w:val="top"/>
                </w:tcPr>
                <w:p>
                  <w:pPr>
                    <w:spacing w:before="58" w:line="184" w:lineRule="auto"/>
                    <w:rPr>
                      <w:color w:val="000000"/>
                      <w:szCs w:val="18"/>
                    </w:rPr>
                  </w:pPr>
                  <w:r>
                    <w:rPr>
                      <w:rFonts w:ascii="宋体" w:hAnsi="宋体" w:eastAsia="宋体" w:cs="宋体"/>
                      <w:spacing w:val="-2"/>
                      <w:sz w:val="18"/>
                      <w:szCs w:val="18"/>
                    </w:rPr>
                    <w:t>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spacing w:line="281" w:lineRule="auto"/>
                    <w:jc w:val="center"/>
                    <w:rPr>
                      <w:rFonts w:ascii="宋体"/>
                      <w:sz w:val="21"/>
                    </w:rPr>
                  </w:pPr>
                </w:p>
                <w:p>
                  <w:pPr>
                    <w:spacing w:before="58" w:line="184" w:lineRule="auto"/>
                    <w:jc w:val="both"/>
                    <w:rPr>
                      <w:rFonts w:hint="eastAsia" w:ascii="Times New Roman" w:hAnsi="Times New Roman" w:eastAsia="宋体" w:cs="Times New Roman"/>
                      <w:color w:val="000000"/>
                      <w:szCs w:val="18"/>
                    </w:rPr>
                  </w:pPr>
                  <w:r>
                    <w:rPr>
                      <w:rFonts w:ascii="宋体" w:hAnsi="宋体" w:eastAsia="宋体" w:cs="宋体"/>
                      <w:spacing w:val="-2"/>
                      <w:sz w:val="18"/>
                      <w:szCs w:val="18"/>
                    </w:rPr>
                    <w:t>火灾事故为零</w:t>
                  </w:r>
                </w:p>
              </w:tc>
              <w:tc>
                <w:tcPr>
                  <w:tcW w:w="5878" w:type="dxa"/>
                  <w:vAlign w:val="top"/>
                </w:tcPr>
                <w:p>
                  <w:pPr>
                    <w:spacing w:before="222" w:line="184" w:lineRule="auto"/>
                    <w:ind w:firstLine="124"/>
                    <w:rPr>
                      <w:rFonts w:ascii="宋体" w:hAnsi="宋体" w:eastAsia="宋体" w:cs="宋体"/>
                      <w:sz w:val="18"/>
                      <w:szCs w:val="18"/>
                    </w:rPr>
                  </w:pPr>
                  <w:r>
                    <w:rPr>
                      <w:rFonts w:ascii="宋体" w:hAnsi="宋体" w:eastAsia="宋体" w:cs="宋体"/>
                      <w:spacing w:val="-2"/>
                      <w:sz w:val="18"/>
                      <w:szCs w:val="18"/>
                    </w:rPr>
                    <w:t>1、定期进行应急预案培训和演练；</w:t>
                  </w:r>
                </w:p>
                <w:p>
                  <w:pPr>
                    <w:spacing w:before="132" w:line="184" w:lineRule="auto"/>
                    <w:ind w:firstLine="112" w:firstLineChars="0"/>
                    <w:rPr>
                      <w:rFonts w:hint="default" w:ascii="Times New Roman" w:hAnsi="Times New Roman" w:eastAsia="宋体" w:cs="Times New Roman"/>
                      <w:color w:val="000000"/>
                      <w:szCs w:val="18"/>
                      <w:lang w:val="en-US" w:eastAsia="zh-CN"/>
                    </w:rPr>
                  </w:pPr>
                  <w:r>
                    <w:rPr>
                      <w:rFonts w:ascii="宋体" w:hAnsi="宋体" w:eastAsia="宋体" w:cs="宋体"/>
                      <w:spacing w:val="-1"/>
                      <w:sz w:val="18"/>
                      <w:szCs w:val="18"/>
                    </w:rPr>
                    <w:t>2、定期进行消防设施检查。</w:t>
                  </w:r>
                </w:p>
              </w:tc>
              <w:tc>
                <w:tcPr>
                  <w:tcW w:w="810" w:type="dxa"/>
                </w:tcPr>
                <w:p>
                  <w:pPr>
                    <w:widowControl/>
                    <w:spacing w:before="40"/>
                    <w:jc w:val="left"/>
                    <w:rPr>
                      <w:rFonts w:hint="eastAsia" w:ascii="Times New Roman" w:hAnsi="Times New Roman" w:eastAsia="宋体" w:cs="Times New Roman"/>
                      <w:color w:val="000000"/>
                      <w:szCs w:val="18"/>
                      <w:lang w:val="en-US" w:eastAsia="zh-CN"/>
                    </w:rPr>
                  </w:pPr>
                  <w:r>
                    <w:rPr>
                      <w:rFonts w:hint="eastAsia" w:cs="Times New Roman"/>
                      <w:color w:val="000000"/>
                      <w:szCs w:val="18"/>
                      <w:lang w:val="en-US" w:eastAsia="zh-CN"/>
                    </w:rPr>
                    <w:t>每季度</w:t>
                  </w:r>
                </w:p>
              </w:tc>
              <w:tc>
                <w:tcPr>
                  <w:tcW w:w="2261" w:type="dxa"/>
                  <w:vAlign w:val="top"/>
                </w:tcPr>
                <w:p>
                  <w:pPr>
                    <w:spacing w:before="220" w:line="184" w:lineRule="auto"/>
                    <w:rPr>
                      <w:rFonts w:hint="default" w:ascii="Times New Roman" w:hAnsi="Times New Roman" w:eastAsia="宋体" w:cs="Times New Roman"/>
                      <w:color w:val="000000"/>
                      <w:szCs w:val="18"/>
                      <w:lang w:val="en-US" w:eastAsia="zh-CN"/>
                    </w:rPr>
                  </w:pPr>
                  <w:r>
                    <w:rPr>
                      <w:rFonts w:ascii="宋体" w:hAnsi="宋体" w:eastAsia="宋体" w:cs="宋体"/>
                      <w:spacing w:val="-2"/>
                      <w:sz w:val="18"/>
                      <w:szCs w:val="18"/>
                    </w:rPr>
                    <w:t>灭火器有效且充足</w:t>
                  </w:r>
                  <w:r>
                    <w:rPr>
                      <w:rFonts w:ascii="宋体" w:hAnsi="宋体" w:eastAsia="宋体" w:cs="宋体"/>
                      <w:spacing w:val="-3"/>
                      <w:sz w:val="18"/>
                      <w:szCs w:val="18"/>
                    </w:rPr>
                    <w:t>已举行应急培训和演练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spacing w:line="272" w:lineRule="auto"/>
                    <w:jc w:val="center"/>
                    <w:rPr>
                      <w:rFonts w:ascii="宋体"/>
                      <w:sz w:val="21"/>
                    </w:rPr>
                  </w:pPr>
                </w:p>
                <w:p>
                  <w:pPr>
                    <w:spacing w:before="59" w:line="184" w:lineRule="auto"/>
                    <w:jc w:val="both"/>
                    <w:rPr>
                      <w:rFonts w:hint="eastAsia" w:ascii="Times New Roman" w:hAnsi="Times New Roman" w:eastAsia="宋体" w:cs="Times New Roman"/>
                      <w:color w:val="000000"/>
                      <w:szCs w:val="18"/>
                    </w:rPr>
                  </w:pPr>
                  <w:r>
                    <w:rPr>
                      <w:rFonts w:ascii="宋体" w:hAnsi="宋体" w:eastAsia="宋体" w:cs="宋体"/>
                      <w:spacing w:val="-4"/>
                      <w:sz w:val="18"/>
                      <w:szCs w:val="18"/>
                    </w:rPr>
                    <w:t>固废分类回收率</w:t>
                  </w:r>
                  <w:r>
                    <w:rPr>
                      <w:rFonts w:ascii="宋体" w:hAnsi="宋体" w:eastAsia="宋体" w:cs="宋体"/>
                      <w:spacing w:val="-25"/>
                      <w:sz w:val="18"/>
                      <w:szCs w:val="18"/>
                    </w:rPr>
                    <w:t xml:space="preserve"> </w:t>
                  </w:r>
                  <w:r>
                    <w:rPr>
                      <w:rFonts w:ascii="宋体" w:hAnsi="宋体" w:eastAsia="宋体" w:cs="宋体"/>
                      <w:spacing w:val="-4"/>
                      <w:sz w:val="18"/>
                      <w:szCs w:val="18"/>
                    </w:rPr>
                    <w:t>100%</w:t>
                  </w:r>
                </w:p>
              </w:tc>
              <w:tc>
                <w:tcPr>
                  <w:tcW w:w="5878" w:type="dxa"/>
                  <w:vAlign w:val="top"/>
                </w:tcPr>
                <w:p>
                  <w:pPr>
                    <w:spacing w:before="69" w:line="252" w:lineRule="auto"/>
                    <w:ind w:right="106"/>
                    <w:rPr>
                      <w:rFonts w:ascii="宋体" w:hAnsi="宋体" w:eastAsia="宋体" w:cs="宋体"/>
                      <w:sz w:val="18"/>
                      <w:szCs w:val="18"/>
                    </w:rPr>
                  </w:pPr>
                  <w:r>
                    <w:rPr>
                      <w:rFonts w:ascii="宋体" w:hAnsi="宋体" w:eastAsia="宋体" w:cs="宋体"/>
                      <w:spacing w:val="-1"/>
                      <w:sz w:val="18"/>
                      <w:szCs w:val="18"/>
                    </w:rPr>
                    <w:t>（1）</w:t>
                  </w:r>
                  <w:r>
                    <w:rPr>
                      <w:rFonts w:ascii="宋体" w:hAnsi="宋体" w:eastAsia="宋体" w:cs="宋体"/>
                      <w:spacing w:val="7"/>
                      <w:sz w:val="18"/>
                      <w:szCs w:val="18"/>
                    </w:rPr>
                    <w:t xml:space="preserve"> </w:t>
                  </w:r>
                  <w:r>
                    <w:rPr>
                      <w:rFonts w:ascii="宋体" w:hAnsi="宋体" w:eastAsia="宋体" w:cs="宋体"/>
                      <w:spacing w:val="-1"/>
                      <w:sz w:val="18"/>
                      <w:szCs w:val="18"/>
                    </w:rPr>
                    <w:t>建立并完善环境管理制度，将目标与责任分解落实，并</w:t>
                  </w:r>
                  <w:r>
                    <w:rPr>
                      <w:rFonts w:ascii="宋体" w:hAnsi="宋体" w:eastAsia="宋体" w:cs="宋体"/>
                      <w:sz w:val="18"/>
                      <w:szCs w:val="18"/>
                    </w:rPr>
                    <w:t xml:space="preserve"> </w:t>
                  </w:r>
                  <w:r>
                    <w:rPr>
                      <w:rFonts w:ascii="宋体" w:hAnsi="宋体" w:eastAsia="宋体" w:cs="宋体"/>
                      <w:spacing w:val="-1"/>
                      <w:sz w:val="18"/>
                      <w:szCs w:val="18"/>
                    </w:rPr>
                    <w:t>对目标的实现情况进行监督检查。</w:t>
                  </w:r>
                </w:p>
                <w:p>
                  <w:pPr>
                    <w:spacing w:before="132" w:line="252" w:lineRule="auto"/>
                    <w:ind w:right="106"/>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34"/>
                      <w:sz w:val="18"/>
                      <w:szCs w:val="18"/>
                    </w:rPr>
                    <w:t xml:space="preserve"> </w:t>
                  </w:r>
                  <w:r>
                    <w:rPr>
                      <w:rFonts w:ascii="宋体" w:hAnsi="宋体" w:eastAsia="宋体" w:cs="宋体"/>
                      <w:spacing w:val="-2"/>
                      <w:sz w:val="18"/>
                      <w:szCs w:val="18"/>
                    </w:rPr>
                    <w:t>对工作人员进行教育培训，增强员工的环保意识和技术</w:t>
                  </w:r>
                  <w:r>
                    <w:rPr>
                      <w:rFonts w:ascii="宋体" w:hAnsi="宋体" w:eastAsia="宋体" w:cs="宋体"/>
                      <w:sz w:val="18"/>
                      <w:szCs w:val="18"/>
                    </w:rPr>
                    <w:t xml:space="preserve"> </w:t>
                  </w:r>
                  <w:r>
                    <w:rPr>
                      <w:rFonts w:ascii="宋体" w:hAnsi="宋体" w:eastAsia="宋体" w:cs="宋体"/>
                      <w:spacing w:val="-4"/>
                      <w:sz w:val="18"/>
                      <w:szCs w:val="18"/>
                    </w:rPr>
                    <w:t>水平。</w:t>
                  </w:r>
                </w:p>
                <w:p>
                  <w:pPr>
                    <w:spacing w:before="132" w:line="184" w:lineRule="auto"/>
                    <w:rPr>
                      <w:rFonts w:ascii="宋体" w:hAnsi="宋体" w:eastAsia="宋体" w:cs="宋体"/>
                      <w:sz w:val="18"/>
                      <w:szCs w:val="18"/>
                    </w:rPr>
                  </w:pPr>
                  <w:r>
                    <w:rPr>
                      <w:rFonts w:ascii="宋体" w:hAnsi="宋体" w:eastAsia="宋体" w:cs="宋体"/>
                      <w:spacing w:val="-5"/>
                      <w:sz w:val="18"/>
                      <w:szCs w:val="18"/>
                    </w:rPr>
                    <w:t>（3）</w:t>
                  </w:r>
                  <w:r>
                    <w:rPr>
                      <w:rFonts w:ascii="宋体" w:hAnsi="宋体" w:eastAsia="宋体" w:cs="宋体"/>
                      <w:spacing w:val="-6"/>
                      <w:sz w:val="18"/>
                      <w:szCs w:val="18"/>
                    </w:rPr>
                    <w:t xml:space="preserve"> </w:t>
                  </w:r>
                  <w:r>
                    <w:rPr>
                      <w:rFonts w:ascii="宋体" w:hAnsi="宋体" w:eastAsia="宋体" w:cs="宋体"/>
                      <w:spacing w:val="-5"/>
                      <w:sz w:val="18"/>
                      <w:szCs w:val="18"/>
                    </w:rPr>
                    <w:t>购备垃圾箱，及时回收，分类堆放。</w:t>
                  </w:r>
                </w:p>
                <w:p>
                  <w:pPr>
                    <w:spacing w:before="132" w:line="184" w:lineRule="auto"/>
                    <w:rPr>
                      <w:rFonts w:hint="default" w:ascii="Times New Roman" w:hAnsi="Times New Roman" w:eastAsia="宋体" w:cs="Times New Roman"/>
                      <w:color w:val="000000"/>
                      <w:szCs w:val="18"/>
                      <w:lang w:val="en-US" w:eastAsia="zh-CN"/>
                    </w:rPr>
                  </w:pPr>
                  <w:r>
                    <w:rPr>
                      <w:rFonts w:ascii="宋体" w:hAnsi="宋体" w:eastAsia="宋体" w:cs="宋体"/>
                      <w:spacing w:val="-4"/>
                      <w:sz w:val="18"/>
                      <w:szCs w:val="18"/>
                    </w:rPr>
                    <w:t>（4）</w:t>
                  </w:r>
                  <w:r>
                    <w:rPr>
                      <w:rFonts w:ascii="宋体" w:hAnsi="宋体" w:eastAsia="宋体" w:cs="宋体"/>
                      <w:spacing w:val="7"/>
                      <w:sz w:val="18"/>
                      <w:szCs w:val="18"/>
                    </w:rPr>
                    <w:t xml:space="preserve"> </w:t>
                  </w:r>
                  <w:r>
                    <w:rPr>
                      <w:rFonts w:ascii="宋体" w:hAnsi="宋体" w:eastAsia="宋体" w:cs="宋体"/>
                      <w:spacing w:val="-4"/>
                      <w:sz w:val="18"/>
                      <w:szCs w:val="18"/>
                    </w:rPr>
                    <w:t>与销售商或厂家联系，力争使废物能再生或重新利用。</w:t>
                  </w:r>
                </w:p>
              </w:tc>
              <w:tc>
                <w:tcPr>
                  <w:tcW w:w="810" w:type="dxa"/>
                </w:tcPr>
                <w:p>
                  <w:pPr>
                    <w:widowControl/>
                    <w:spacing w:before="40"/>
                    <w:jc w:val="left"/>
                    <w:rPr>
                      <w:rFonts w:hint="eastAsia" w:ascii="Times New Roman" w:hAnsi="Times New Roman" w:eastAsia="宋体" w:cs="Times New Roman"/>
                      <w:color w:val="000000"/>
                      <w:szCs w:val="18"/>
                    </w:rPr>
                  </w:pPr>
                  <w:r>
                    <w:rPr>
                      <w:rFonts w:hint="eastAsia" w:cs="Times New Roman"/>
                      <w:color w:val="000000"/>
                      <w:szCs w:val="18"/>
                      <w:lang w:val="en-US" w:eastAsia="zh-CN"/>
                    </w:rPr>
                    <w:t>每季度</w:t>
                  </w:r>
                </w:p>
              </w:tc>
              <w:tc>
                <w:tcPr>
                  <w:tcW w:w="2261" w:type="dxa"/>
                  <w:vAlign w:val="top"/>
                </w:tcPr>
                <w:p>
                  <w:pPr>
                    <w:spacing w:before="58" w:line="319" w:lineRule="exact"/>
                    <w:rPr>
                      <w:rFonts w:ascii="宋体" w:hAnsi="宋体" w:eastAsia="宋体" w:cs="宋体"/>
                      <w:spacing w:val="-1"/>
                      <w:position w:val="10"/>
                      <w:sz w:val="18"/>
                      <w:szCs w:val="18"/>
                    </w:rPr>
                  </w:pPr>
                  <w:r>
                    <w:rPr>
                      <w:rFonts w:ascii="宋体" w:hAnsi="宋体" w:eastAsia="宋体" w:cs="宋体"/>
                      <w:spacing w:val="-1"/>
                      <w:position w:val="10"/>
                      <w:sz w:val="18"/>
                      <w:szCs w:val="18"/>
                    </w:rPr>
                    <w:t>制度相应的管理制度</w:t>
                  </w:r>
                </w:p>
                <w:p>
                  <w:pPr>
                    <w:spacing w:before="58" w:line="319" w:lineRule="exact"/>
                    <w:rPr>
                      <w:rFonts w:ascii="宋体" w:hAnsi="宋体" w:eastAsia="宋体" w:cs="宋体"/>
                      <w:sz w:val="18"/>
                      <w:szCs w:val="18"/>
                    </w:rPr>
                  </w:pPr>
                  <w:r>
                    <w:rPr>
                      <w:rFonts w:ascii="宋体" w:hAnsi="宋体" w:eastAsia="宋体" w:cs="宋体"/>
                      <w:spacing w:val="-1"/>
                      <w:sz w:val="18"/>
                      <w:szCs w:val="18"/>
                    </w:rPr>
                    <w:t>对人员进行培训</w:t>
                  </w:r>
                </w:p>
                <w:p>
                  <w:pPr>
                    <w:spacing w:before="122" w:line="319" w:lineRule="exact"/>
                    <w:rPr>
                      <w:rFonts w:ascii="宋体" w:hAnsi="宋体" w:eastAsia="宋体" w:cs="宋体"/>
                      <w:sz w:val="18"/>
                      <w:szCs w:val="18"/>
                    </w:rPr>
                  </w:pPr>
                  <w:r>
                    <w:rPr>
                      <w:rFonts w:ascii="宋体" w:hAnsi="宋体" w:eastAsia="宋体" w:cs="宋体"/>
                      <w:spacing w:val="-2"/>
                      <w:position w:val="10"/>
                      <w:sz w:val="18"/>
                      <w:szCs w:val="18"/>
                    </w:rPr>
                    <w:t>垃圾已经分类存放</w:t>
                  </w:r>
                </w:p>
                <w:p>
                  <w:pPr>
                    <w:spacing w:line="204" w:lineRule="auto"/>
                    <w:rPr>
                      <w:rFonts w:hint="default" w:ascii="Times New Roman" w:hAnsi="Times New Roman" w:eastAsia="宋体" w:cs="Times New Roman"/>
                      <w:color w:val="000000"/>
                      <w:szCs w:val="18"/>
                      <w:lang w:val="en-US" w:eastAsia="zh-CN"/>
                    </w:rPr>
                  </w:pPr>
                  <w:r>
                    <w:rPr>
                      <w:rFonts w:ascii="宋体" w:hAnsi="宋体" w:eastAsia="宋体" w:cs="宋体"/>
                      <w:spacing w:val="-2"/>
                      <w:sz w:val="18"/>
                      <w:szCs w:val="18"/>
                    </w:rPr>
                    <w:t>能回收的已经回收</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sym w:font="Wingdings 2" w:char="00A3"/>
            </w: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rPr>
                <w:rFonts w:ascii="Times New Roman" w:hAnsi="Times New Roman" w:cs="Times New Roman"/>
              </w:rPr>
            </w:pPr>
            <w:r>
              <w:rPr>
                <w:rFonts w:hint="eastAsia" w:ascii="Times New Roman" w:hAnsi="Times New Roman" w:cs="Times New Roman"/>
              </w:rPr>
              <w:t>建筑面积4000平米左右，办公室300㎡，库房</w:t>
            </w:r>
            <w:r>
              <w:rPr>
                <w:rFonts w:hint="eastAsia" w:cs="Times New Roman"/>
                <w:lang w:val="en-US" w:eastAsia="zh-CN"/>
              </w:rPr>
              <w:t>5</w:t>
            </w:r>
            <w:r>
              <w:rPr>
                <w:rFonts w:hint="eastAsia" w:ascii="Times New Roman" w:hAnsi="Times New Roman" w:cs="Times New Roman"/>
              </w:rPr>
              <w:t>00㎡；</w:t>
            </w:r>
          </w:p>
          <w:p>
            <w:pPr>
              <w:shd w:val="clear" w:color="auto" w:fill="EBF1DE" w:themeFill="accent3" w:themeFillTint="32"/>
              <w:rPr>
                <w:u w:val="single"/>
              </w:rPr>
            </w:pPr>
            <w:r>
              <w:rPr>
                <w:rFonts w:hint="eastAsia"/>
              </w:rPr>
              <w:t>主要生产设备有：</w:t>
            </w:r>
            <w:r>
              <w:rPr>
                <w:rFonts w:hint="eastAsia"/>
                <w:u w:val="single"/>
                <w:lang w:val="en-US" w:eastAsia="zh-CN"/>
              </w:rPr>
              <w:t>电脑、打印机、办公室</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排入市政管网</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eastAsia="宋体"/>
                      <w:lang w:val="en-US" w:eastAsia="zh-CN"/>
                    </w:rPr>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分类存放，处置公司及时处置</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14</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12</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23-24</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13</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2720370D"/>
    <w:rsid w:val="3E917DF3"/>
    <w:rsid w:val="7FF123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9057</Words>
  <Characters>9616</Characters>
  <Lines>150</Lines>
  <Paragraphs>42</Paragraphs>
  <TotalTime>4</TotalTime>
  <ScaleCrop>false</ScaleCrop>
  <LinksUpToDate>false</LinksUpToDate>
  <CharactersWithSpaces>9704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2022-11-10T02:46:13Z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