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华润雪花啤酒（四川）有限责任公司西昌分公司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0015-2020-EO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邓雨琼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0834-3242199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E：雪花啤酒的生产及其场所所涉及的相关环境管理活动</w:t>
            </w:r>
          </w:p>
          <w:p>
            <w:r>
              <w:t>O：雪花啤酒的生产及其场所所涉及的相关职业健康安全管理活动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E：03.10.05</w:t>
            </w:r>
          </w:p>
          <w:p>
            <w:r>
              <w:t>O：03.10.05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24001-2016idtISO 14001:2015,O：ISO 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2020年01月04日 上午至2020年01月05日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E:03.10.05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O:03.10.05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2020.1.3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left"/>
        <w:rPr>
          <w:rFonts w:hint="eastAsia" w:eastAsia="隶书"/>
          <w:sz w:val="30"/>
          <w:szCs w:val="30"/>
          <w:lang w:eastAsia="zh-CN"/>
        </w:rPr>
      </w:pPr>
      <w:r>
        <w:rPr>
          <w:rFonts w:hint="eastAsia" w:eastAsia="隶书"/>
          <w:sz w:val="30"/>
          <w:szCs w:val="30"/>
          <w:lang w:eastAsia="zh-CN"/>
        </w:rPr>
        <w:t>附表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4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4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8：00-8:30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8：30-16：30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（午餐时间12：00-13:00）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/>
                <w:sz w:val="21"/>
                <w:szCs w:val="21"/>
              </w:rPr>
              <w:t xml:space="preserve">通过对受审核方的管理、生产现场巡视和观察，从总体上初步判断受审 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/>
                <w:sz w:val="21"/>
                <w:szCs w:val="21"/>
              </w:rPr>
              <w:t>了解、收集、确认和核实受审核方相关信息以及相关法律法规的执行情况（重点是法律位证明文件、经营许可资质/资格、强制性标准执行情况）；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/>
                <w:sz w:val="21"/>
                <w:szCs w:val="21"/>
              </w:rPr>
              <w:t>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/>
                <w:sz w:val="21"/>
                <w:szCs w:val="21"/>
              </w:rPr>
              <w:t>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tcBorders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/>
                <w:sz w:val="21"/>
                <w:szCs w:val="21"/>
              </w:rPr>
              <w:t>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9、</w:t>
            </w:r>
            <w:r>
              <w:rPr>
                <w:rFonts w:hint="eastAsia"/>
                <w:sz w:val="21"/>
                <w:szCs w:val="21"/>
              </w:rPr>
              <w:t>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10、</w:t>
            </w:r>
            <w:r>
              <w:rPr>
                <w:rFonts w:hint="eastAsia"/>
                <w:sz w:val="21"/>
                <w:szCs w:val="21"/>
              </w:rPr>
              <w:t>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11、</w:t>
            </w:r>
            <w:r>
              <w:rPr>
                <w:rFonts w:hint="eastAsia"/>
                <w:sz w:val="21"/>
                <w:szCs w:val="21"/>
              </w:rPr>
              <w:t>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12、</w:t>
            </w:r>
            <w:r>
              <w:rPr>
                <w:rFonts w:hint="eastAsia"/>
                <w:sz w:val="21"/>
                <w:szCs w:val="21"/>
              </w:rPr>
              <w:t>适用法律法规、技术标准识别的充分性，收集合规性的证据。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13、</w:t>
            </w:r>
            <w:r>
              <w:rPr>
                <w:rFonts w:hint="eastAsia"/>
                <w:sz w:val="21"/>
                <w:szCs w:val="21"/>
              </w:rPr>
              <w:t>核实、确认受审核方各相关部门提供的相关信息（重点是资质、资格、产品范围、人数、规模、场所等）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color w:val="auto"/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color w:val="auto"/>
                <w:sz w:val="21"/>
                <w:szCs w:val="21"/>
              </w:rPr>
              <w:t>和确认。</w:t>
            </w:r>
          </w:p>
          <w:p>
            <w:pPr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</w:t>
            </w:r>
            <w:bookmarkStart w:id="14" w:name="_GoBack"/>
            <w:bookmarkEnd w:id="14"/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5、了解环境因素和危险源的识别、评价等控制情况</w:t>
            </w:r>
          </w:p>
          <w:p>
            <w:pPr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16、了解对合规性及应急预案等情况的执行。</w:t>
            </w:r>
          </w:p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17、结合目标确定体系推动部门第二阶段重要审核点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4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4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日</w:t>
            </w:r>
          </w:p>
        </w:tc>
        <w:tc>
          <w:tcPr>
            <w:tcW w:w="1505" w:type="dxa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继续昨天下午审核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杨珍全、文平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534F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2020-01-02T06:37:58Z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