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石家庄德厚环保科技有限公司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18.02.06,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29.11.05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Lines="0" w:afterLines="0"/>
              <w:rPr>
                <w:b/>
                <w:sz w:val="20"/>
              </w:rPr>
            </w:pPr>
            <w:r>
              <w:rPr>
                <w:rFonts w:hint="eastAsia" w:ascii="宋体" w:hAnsi="宋体"/>
                <w:sz w:val="28"/>
                <w:szCs w:val="24"/>
              </w:rPr>
              <w:t>业务洽谈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8"/>
                <w:szCs w:val="24"/>
              </w:rPr>
              <w:t>顾客要求的评审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8"/>
                <w:szCs w:val="24"/>
              </w:rPr>
              <w:t>签订合同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8"/>
                <w:szCs w:val="24"/>
              </w:rPr>
              <w:t>采购货物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8"/>
                <w:szCs w:val="24"/>
              </w:rPr>
              <w:t>产品检验</w:t>
            </w:r>
            <w:r>
              <w:rPr>
                <w:rFonts w:hint="eastAsia" w:ascii="宋体" w:hAnsi="宋体"/>
                <w:sz w:val="28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8"/>
                <w:szCs w:val="24"/>
              </w:rPr>
              <w:t>货物交付及售后服务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火灾、固废排放，制定目标管理方案及应急预案，对人员培训、进行消防演练等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消防法、固体废物污染环境防治法、国家危险废物名录、大气污染防治法、空气质量标准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117475</wp:posOffset>
                  </wp:positionV>
                  <wp:extent cx="862330" cy="41529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93980</wp:posOffset>
                  </wp:positionV>
                  <wp:extent cx="862330" cy="41529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2022.10.31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DC829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7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2022-10-31T02:36:50Z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