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四川乐诚新材料有限公司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华冰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 w:val="0"/>
                <w:szCs w:val="21"/>
                <w:lang w:val="en-US" w:eastAsia="zh-CN"/>
              </w:rPr>
              <w:t>查见部分法律法规未及时更新，不符合。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9" w:name="总组长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3074670</wp:posOffset>
                  </wp:positionH>
                  <wp:positionV relativeFrom="paragraph">
                    <wp:posOffset>175260</wp:posOffset>
                  </wp:positionV>
                  <wp:extent cx="544830" cy="248920"/>
                  <wp:effectExtent l="0" t="0" r="3810" b="10160"/>
                  <wp:wrapNone/>
                  <wp:docPr id="2" name="图片 2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9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679450</wp:posOffset>
                  </wp:positionH>
                  <wp:positionV relativeFrom="paragraph">
                    <wp:posOffset>165100</wp:posOffset>
                  </wp:positionV>
                  <wp:extent cx="544830" cy="248920"/>
                  <wp:effectExtent l="0" t="0" r="3810" b="10160"/>
                  <wp:wrapNone/>
                  <wp:docPr id="1" name="图片 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bookmarkStart w:id="21" w:name="_GoBack"/>
      <w:bookmarkEnd w:id="21"/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34F08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378</Words>
  <Characters>547</Characters>
  <Lines>6</Lines>
  <Paragraphs>1</Paragraphs>
  <TotalTime>3</TotalTime>
  <ScaleCrop>false</ScaleCrop>
  <LinksUpToDate>false</LinksUpToDate>
  <CharactersWithSpaces>811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2022-10-29T07:47:00Z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