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浙江省震灾风险防治中心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浙江省杭州市西湖区古荡湾塘苗路7号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浙江省杭州市西湖区古荡湾塘苗路7号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盛特奇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0571-86472076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35986722@qq.com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1286-2021-QEO-2022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Q：地震安全性评价服务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E：地震安全性评价服务所涉及场所的相关环境管理活动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O：地震安全性评价服务所涉及场所的相关职业健康安全管理活动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2022年10月31日 上午至2022年11月01日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2022.10.31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含财务）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资质验证/范围再确认/初审阶段阶段问题验证/投诉或事故/政府主管部门监督抽查情况。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办公室部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QMS-2015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 8.2产品和服务的要求； 8.4外部提供供方的控制；8.5.3顾客或外部供方的财产；9.1.1监视、测量、分析和评价总则；9.1.2顾客满意；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 6.1.2环境因素； 6.1.3合规义务；6.2目标及其达成的策划； 8.1运行策划和控制；8.2应急准备和响应；9.1.1监视、测量、分析和评价总则；9.1.2符合性评估；9.2内部审核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ISO 45001：2018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 6.1.2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危险源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 6.1.3合规义务；6.2目标及其达成的策划； 8.1运行策划和控制；8.2应急准备和响应；9.1.1监视、测量、分析和评价总则；9.1.2符合性评估；9.2内部审核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5.4 工作人员的协商和参与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基础探测部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8.5.4防护；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8.5.5交付后的活动；8.5.6更改控制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bookmarkStart w:id="36" w:name="_GoBack"/>
            <w:bookmarkEnd w:id="36"/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ISO 45001：2018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危险源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；6.2目标及其达成的策划；8.1运行策划和控制；8.2应急准备和响应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2022.11.1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监测评估部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/权限；6.2质量目标及其实现的策划；7.1.5监视和测量资源；8.5.1生产和服务提供的控制；8.5.2标识和可追溯性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8.5.4防护；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8.5.5交付后的活动；8.5.6更改控制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；8.6产品和服务放行；8.7不合格输出的控制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ISO 45001：2018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危险源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；6.2目标及其达成的策划；8.1运行策划和控制；8.2应急准备和响应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39A10EC"/>
    <w:rsid w:val="29C31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2256</Words>
  <Characters>3191</Characters>
  <Lines>37</Lines>
  <Paragraphs>10</Paragraphs>
  <TotalTime>17</TotalTime>
  <ScaleCrop>false</ScaleCrop>
  <LinksUpToDate>false</LinksUpToDate>
  <CharactersWithSpaces>3280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2022-10-31T08:23:54Z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