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河北方维采暖设备有限公司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0688-2022-E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河北省衡水市冀州区桃园南大街南头西侧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翟文娜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河北省衡水市冀州区高新区孵化园三号车间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翟建龙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13903286444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13903286444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暖气片的销售所涉及场所的相关环境管理活动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29.10.07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4" o:spid="_x0000_s1026" o:spt="75" alt="fd760dbe16eb6185a5a45f762861822" type="#_x0000_t75" style="position:absolute;left:0pt;margin-left:90.05pt;margin-top:-0.35pt;height:31.8pt;width:64.2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2022年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项</w:t>
            </w: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，</w:t>
            </w:r>
            <w:bookmarkStart w:id="18" w:name="_GoBack"/>
            <w:bookmarkEnd w:id="18"/>
            <w:r>
              <w:rPr>
                <w:rFonts w:hint="eastAsia"/>
                <w:bCs/>
                <w:sz w:val="24"/>
                <w:highlight w:val="none"/>
              </w:rPr>
              <w:t>分布</w:t>
            </w:r>
            <w:r>
              <w:rPr>
                <w:bCs/>
                <w:sz w:val="24"/>
                <w:highlight w:val="none"/>
              </w:rPr>
              <w:t>部门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供销部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  <w:t>不符合标准及条款：GB/T24001-2016标准6.1.2 a条款。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  <w:t>不符合性质：■一般不符合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关注销售过程环境因素识别，办公区域应急管理等。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_x0000_s1027" o:spid="_x0000_s1027" o:spt="75" alt="fd760dbe16eb6185a5a45f762861822" type="#_x0000_t75" style="position:absolute;left:0pt;margin-left:92.7pt;margin-top:23.1pt;height:31.8pt;width:64.2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 xml:space="preserve">            2022年10月29日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1B4B0919"/>
    <w:rsid w:val="73E060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1732</Words>
  <Characters>1850</Characters>
  <Lines>16</Lines>
  <Paragraphs>4</Paragraphs>
  <TotalTime>1</TotalTime>
  <ScaleCrop>false</ScaleCrop>
  <LinksUpToDate>false</LinksUpToDate>
  <CharactersWithSpaces>2395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2022-10-28T12:52:48Z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