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江西天仙精藏设备有限公司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下料－冲压－折弯－焊接－喷涂－装配－成品检验－包装－入库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关键过程：下料</w:t>
            </w:r>
            <w:r>
              <w:rPr>
                <w:rFonts w:hint="eastAsia"/>
                <w:b/>
                <w:sz w:val="20"/>
                <w:lang w:eastAsia="zh-CN"/>
              </w:rPr>
              <w:t>、焊接、喷涂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需确认的过程：</w:t>
            </w:r>
            <w:r>
              <w:rPr>
                <w:rFonts w:hint="eastAsia"/>
                <w:b/>
                <w:sz w:val="20"/>
                <w:lang w:eastAsia="zh-CN"/>
              </w:rPr>
              <w:t>焊接、喷涂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Q/1TXSB 001-2017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福寿架（骨灰盒存放架）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Q/1TXSB 002-2017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铝合金骨灰盒存放架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Q/1TXSB 003-2017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压铸型骨灰盒存放架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金属家具通用技术条件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GB/T3325-2017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涂装作业安全规程-粉末静电喷涂工艺安全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GB15067-2008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检验外观、规格、性能、尺寸参数等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153670</wp:posOffset>
                  </wp:positionV>
                  <wp:extent cx="844550" cy="509270"/>
                  <wp:effectExtent l="0" t="0" r="12700" b="5080"/>
                  <wp:wrapNone/>
                  <wp:docPr id="1" name="图片 1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71120</wp:posOffset>
                  </wp:positionV>
                  <wp:extent cx="844550" cy="509270"/>
                  <wp:effectExtent l="0" t="0" r="12700" b="5080"/>
                  <wp:wrapNone/>
                  <wp:docPr id="3" name="图片 4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江西天仙精藏设备有限公司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下料－冲压－折弯－焊接－喷涂－装配－成品检验－包装－入库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潜在火灾/爆炸、固废排放、粉尘排放、噪音排放、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废水排放、</w:t>
            </w:r>
            <w:bookmarkStart w:id="2" w:name="_GoBack"/>
            <w:bookmarkEnd w:id="2"/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能源消耗</w:t>
            </w:r>
          </w:p>
          <w:p>
            <w:pPr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控制措施：一般固废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中华人民共和国环境保护法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中华人民共和国环境噪声污染防治法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中华人民共和国大气污染防治法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中华人民共和国水污染防治法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《中华人民共和国水污染防治法》实施细则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中华人民共和国固体废物污染环境防治法</w:t>
            </w:r>
          </w:p>
          <w:p>
            <w:pPr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中华人民共和国节约能源法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噪声、废水、废气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153670</wp:posOffset>
                  </wp:positionV>
                  <wp:extent cx="844550" cy="509270"/>
                  <wp:effectExtent l="0" t="0" r="12700" b="5080"/>
                  <wp:wrapNone/>
                  <wp:docPr id="6" name="图片 6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71120</wp:posOffset>
                  </wp:positionV>
                  <wp:extent cx="844550" cy="509270"/>
                  <wp:effectExtent l="0" t="0" r="12700" b="5080"/>
                  <wp:wrapNone/>
                  <wp:docPr id="7" name="图片 4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br w:type="page"/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江西天仙精藏设备有限公司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下料－冲压－折弯－焊接－喷涂－装配－成品检验－包装－入库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eastAsia="zh-CN"/>
              </w:rPr>
              <w:t>：触电、火灾、爆炸、职业病（粉尘、废气、噪声）、机械伤害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通用控制措施——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制定目标、指标，编制运行控制文件，运行控制；设置警示标志标识；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定期监测职业危害因素并公示；一旦发生按相关应急预案执行。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火灾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触电——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设备、电路定期检修、检查，电工持证上岗；配置消防器材、做好火灾预防措施，预案、演练、检查。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职业病——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选用低噪声设备，合理布局，隔声减震，使用个人防护用品；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粉尘——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除尘装置处理，加强个人防护；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机械伤害——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设备设施安全防护、加强安全教育，按章作业，加强工艺纪律检查，使用个人防护用品。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中华人民共和国工会法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中华人民共和国职业病防治法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中华人民共和国消防法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中华人民共和国劳动法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中华人民共和国妇女权益保障法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三年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153670</wp:posOffset>
                  </wp:positionV>
                  <wp:extent cx="844550" cy="509270"/>
                  <wp:effectExtent l="0" t="0" r="12700" b="5080"/>
                  <wp:wrapNone/>
                  <wp:docPr id="10" name="图片 10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71120</wp:posOffset>
                  </wp:positionV>
                  <wp:extent cx="844550" cy="509270"/>
                  <wp:effectExtent l="0" t="0" r="12700" b="5080"/>
                  <wp:wrapNone/>
                  <wp:docPr id="11" name="图片 4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5AD02FEA"/>
    <w:rsid w:val="62594E12"/>
    <w:rsid w:val="6D796C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1284</Words>
  <Characters>1456</Characters>
  <Lines>2</Lines>
  <Paragraphs>1</Paragraphs>
  <TotalTime>5</TotalTime>
  <ScaleCrop>false</ScaleCrop>
  <LinksUpToDate>false</LinksUpToDate>
  <CharactersWithSpaces>1467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2022-10-25T07:04:58Z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