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018"/>
        <w:gridCol w:w="948"/>
        <w:gridCol w:w="1416"/>
        <w:gridCol w:w="86"/>
        <w:gridCol w:w="1004"/>
        <w:gridCol w:w="934"/>
        <w:gridCol w:w="440"/>
        <w:gridCol w:w="63"/>
        <w:gridCol w:w="591"/>
        <w:gridCol w:w="128"/>
        <w:gridCol w:w="218"/>
        <w:gridCol w:w="621"/>
        <w:gridCol w:w="15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</w:rPr>
              <w:t>受审核方名称</w:t>
            </w:r>
          </w:p>
        </w:tc>
        <w:tc>
          <w:tcPr>
            <w:tcW w:w="8847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合肥市房地产经营公司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4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  <w:highlight w:val="none"/>
              </w:rPr>
              <w:t>安徽省合肥市中市区西陈小巷53号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4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  <w:highlight w:val="none"/>
              </w:rPr>
              <w:t>安徽省合肥市庐阳区城建大厦13层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7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龚海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15395177500</w:t>
            </w:r>
            <w:bookmarkEnd w:id="4"/>
          </w:p>
        </w:tc>
        <w:tc>
          <w:tcPr>
            <w:tcW w:w="7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296369194@qq.com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7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82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4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0621-2020-EnMs-2022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47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74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47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7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47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74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47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47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0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  <w:highlight w:val="none"/>
              </w:rPr>
              <w:t>物业服务范围内的保安、保洁、维修、绿化、办公的能源管理活动。</w:t>
            </w:r>
            <w:bookmarkEnd w:id="18"/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2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2.10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4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47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107-2013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7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4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</w:t>
            </w:r>
            <w:r>
              <w:rPr>
                <w:rFonts w:hint="eastAsia"/>
                <w:b/>
                <w:sz w:val="20"/>
                <w:highlight w:val="none"/>
              </w:rPr>
              <w:t>11月01日 上午至2022年11月02日</w:t>
            </w:r>
            <w:r>
              <w:rPr>
                <w:rFonts w:hint="eastAsia"/>
                <w:b/>
                <w:sz w:val="20"/>
              </w:rPr>
              <w:t xml:space="preserve">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4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4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7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140335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4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01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2022.10.28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</w:t>
            </w:r>
          </w:p>
        </w:tc>
      </w:tr>
    </w:tbl>
    <w:p/>
    <w:p/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08"/>
        <w:gridCol w:w="1020"/>
        <w:gridCol w:w="3905"/>
        <w:gridCol w:w="179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02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9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3241" w:type="dxa"/>
            <w:gridSpan w:val="2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A（腾讯+现场会议）423550499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30-10:30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90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企业的内外部环境、相关方的需求和期望、能源管理体系范围及过程、管理承诺、能源方针、职责分配、风险和机遇的策划、管理评审和持续改进的策划；对初次认证不符合整改情况的确认等</w:t>
            </w:r>
          </w:p>
        </w:tc>
        <w:tc>
          <w:tcPr>
            <w:tcW w:w="1795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巡视现场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家具的生产过程控制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主要用能设备管理等</w:t>
            </w: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物业部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能源评审、能源绩效参数、能源基准、能源数据收集的策划及控制、运行控制、设计、能源绩效监视测量、不符合纠正及纠正措施</w:t>
            </w: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8.2/</w:t>
            </w:r>
            <w:bookmarkStart w:id="22" w:name="_GoBack"/>
            <w:bookmarkEnd w:id="22"/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11-1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7" w:right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运行控制、资金支持、不符合纠正及纠正措施</w:t>
            </w: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EnMS:5.3/6.2/7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8.1/10.1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both"/>
              <w:textAlignment w:val="auto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57" w:rightChars="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240" w:lineRule="atLeast"/>
              <w:textAlignment w:val="auto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运行控制、不符合纠正及纠正措施</w:t>
            </w: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部门职责权限、目标指标及完成情况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运行控制、能源采购、用能设备的采购、法律法规及其它要求的收集及合规性评价、内部审核实施、不符合纠正及纠正措施</w:t>
            </w: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/9.2/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远程微信、QQ等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宣布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A（腾讯+现场会议）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518500736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4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11-2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0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79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4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74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2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83B7E"/>
    <w:rsid w:val="3B154E83"/>
    <w:rsid w:val="6E34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2022-11-02T01:26:03Z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