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2"/>
        <w:gridCol w:w="12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河北方维采暖设备有限公司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bookmarkStart w:id="3" w:name="专业代码"/>
            <w:r>
              <w:t>Q：17.07.01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O：17.07.01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164465</wp:posOffset>
                  </wp:positionV>
                  <wp:extent cx="849630" cy="257175"/>
                  <wp:effectExtent l="0" t="0" r="7620" b="9525"/>
                  <wp:wrapNone/>
                  <wp:docPr id="4" name="图片 1" descr="C:\Users\24309\AppData\Local\Temp\WeChat Files\5aa24add3da49bfab75b3df88c3fa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AppData\Local\Temp\WeChat Files\5aa24add3da49bfab75b3df88c3fa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Q：17.07.01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（集中供暖散热器和锅炉的制造）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微信视频10月23日19：30-20：00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72390</wp:posOffset>
                  </wp:positionV>
                  <wp:extent cx="781050" cy="381000"/>
                  <wp:effectExtent l="0" t="0" r="0" b="0"/>
                  <wp:wrapNone/>
                  <wp:docPr id="7" name="图片 7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生产产品工艺流程：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钢管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抛丸除锈</w:t>
            </w:r>
            <w:r>
              <w:rPr>
                <w:rFonts w:hint="eastAsia"/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试压—静电喷涂—烘干—成品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关键工序：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焊接、试压、静电喷涂</w:t>
            </w:r>
            <w:r>
              <w:rPr>
                <w:rFonts w:hint="eastAsia"/>
                <w:sz w:val="21"/>
                <w:szCs w:val="21"/>
              </w:rPr>
              <w:t>；确认过程：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/>
                <w:sz w:val="21"/>
                <w:szCs w:val="21"/>
              </w:rPr>
              <w:t>过程，也是特殊过程。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产品生产质量风险：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焊接强度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喷涂质量</w:t>
            </w:r>
            <w:r>
              <w:rPr>
                <w:rFonts w:hint="eastAsia"/>
                <w:sz w:val="21"/>
                <w:szCs w:val="21"/>
              </w:rPr>
              <w:t>等不符合造成产品退货风险。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  <w:highlight w:val="green"/>
              </w:rPr>
            </w:pPr>
            <w:r>
              <w:rPr>
                <w:rFonts w:hint="eastAsia"/>
                <w:sz w:val="21"/>
                <w:szCs w:val="21"/>
              </w:rPr>
              <w:t>中华人民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共和国产品质量法、中华人民共和国计量法、GB∕T 13754 - 2017 供暖散热器散热量测定方法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和合同等。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产品检验项目：高度、壁厚、柱距、柱宽、柱厚、承压、喷涂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</w:t>
            </w:r>
            <w:bookmarkStart w:id="4" w:name="_GoBack"/>
            <w:bookmarkEnd w:id="4"/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182880</wp:posOffset>
                  </wp:positionV>
                  <wp:extent cx="849630" cy="257175"/>
                  <wp:effectExtent l="0" t="0" r="7620" b="9525"/>
                  <wp:wrapNone/>
                  <wp:docPr id="8" name="图片 1" descr="C:\Users\24309\AppData\Local\Temp\WeChat Files\5aa24add3da49bfab75b3df88c3fa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\Users\24309\AppData\Local\Temp\WeChat Files\5aa24add3da49bfab75b3df88c3fa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194310</wp:posOffset>
                  </wp:positionV>
                  <wp:extent cx="781050" cy="381000"/>
                  <wp:effectExtent l="0" t="0" r="0" b="0"/>
                  <wp:wrapNone/>
                  <wp:docPr id="9" name="图片 9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E1D7B4F"/>
    <w:rsid w:val="21937A2C"/>
    <w:rsid w:val="31384C99"/>
    <w:rsid w:val="4E500A45"/>
    <w:rsid w:val="5F90239C"/>
    <w:rsid w:val="686F1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395</Words>
  <Characters>464</Characters>
  <Lines>2</Lines>
  <Paragraphs>1</Paragraphs>
  <TotalTime>6</TotalTime>
  <ScaleCrop>false</ScaleCrop>
  <LinksUpToDate>false</LinksUpToDate>
  <CharactersWithSpaces>465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2022-10-27T12:24:12Z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