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0573-2020-Q-2022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石家庄子伦机械有限公司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石家庄子伦机械有限公司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河北省石家庄市鹿泉区福威路8号</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河北省石家庄市鹿泉开发区双剑路8号</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陈巍</w:t>
            </w:r>
            <w:bookmarkEnd w:id="10"/>
          </w:p>
        </w:tc>
        <w:tc>
          <w:tcPr>
            <w:tcW w:w="1313" w:type="dxa"/>
            <w:vAlign w:val="center"/>
          </w:tcPr>
          <w:p>
            <w:r>
              <w:rPr>
                <w:rFonts w:hint="eastAsia"/>
              </w:rPr>
              <w:t>电话.</w:t>
            </w:r>
          </w:p>
        </w:tc>
        <w:tc>
          <w:tcPr>
            <w:tcW w:w="2180" w:type="dxa"/>
            <w:vAlign w:val="center"/>
          </w:tcPr>
          <w:p>
            <w:bookmarkStart w:id="11" w:name="联系人电话"/>
            <w:r>
              <w:t>13930172532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陈巍</w:t>
            </w:r>
            <w:bookmarkEnd w:id="13"/>
          </w:p>
        </w:tc>
        <w:tc>
          <w:tcPr>
            <w:tcW w:w="1313" w:type="dxa"/>
            <w:vAlign w:val="center"/>
          </w:tcPr>
          <w:p>
            <w:r>
              <w:rPr>
                <w:rFonts w:hint="eastAsia"/>
              </w:rPr>
              <w:t>管理者代表</w:t>
            </w:r>
          </w:p>
        </w:tc>
        <w:tc>
          <w:tcPr>
            <w:tcW w:w="2180" w:type="dxa"/>
          </w:tcPr>
          <w:p>
            <w:bookmarkStart w:id="14" w:name="管理者代表"/>
            <w:r>
              <w:t>陈巍</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楷体" w:hAnsi="楷体" w:eastAsia="楷体" w:cs="楷体"/>
                <w:sz w:val="21"/>
                <w:szCs w:val="21"/>
              </w:rPr>
            </w:pPr>
            <w:r>
              <w:rPr>
                <w:rFonts w:hint="eastAsia" w:ascii="楷体" w:hAnsi="楷体" w:eastAsia="楷体" w:cs="楷体"/>
                <w:sz w:val="21"/>
                <w:szCs w:val="21"/>
              </w:rPr>
              <w:t>原料→下料→机械加工（加工中心）→检验→表面处理（外包）→包装→入库→交付</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2022年10月25日 上午至2022年10月25日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二</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河北省石家庄市鹿泉开发区双剑路8号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通讯设施结构件的生产（需资质许可要求的除外）</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17.06.01</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石家庄子伦机械有限公司</w:t>
            </w:r>
          </w:p>
          <w:p>
            <w:pPr>
              <w:pStyle w:val="2"/>
              <w:rPr>
                <w:lang w:val="de-DE" w:eastAsia="ja-JP"/>
              </w:rPr>
            </w:pPr>
            <w:r>
              <w:rPr>
                <w:rFonts w:asciiTheme="minorEastAsia" w:hAnsiTheme="minorEastAsia" w:eastAsiaTheme="minorEastAsia"/>
                <w:sz w:val="20"/>
              </w:rPr>
              <w:t>河北省石家庄市鹿泉区福威路8号</w:t>
            </w:r>
          </w:p>
        </w:tc>
        <w:tc>
          <w:tcPr>
            <w:tcW w:w="2267" w:type="dxa"/>
          </w:tcPr>
          <w:p>
            <w:pPr>
              <w:rPr>
                <w:lang w:val="de-DE" w:eastAsia="ja-JP"/>
              </w:rPr>
            </w:pPr>
            <w:r>
              <w:rPr>
                <w:rFonts w:asciiTheme="minorEastAsia" w:hAnsiTheme="minorEastAsia" w:eastAsiaTheme="minorEastAsia"/>
                <w:sz w:val="20"/>
              </w:rPr>
              <w:t>河北省石家庄市鹿泉开发区双剑路8号</w:t>
            </w:r>
          </w:p>
        </w:tc>
        <w:tc>
          <w:tcPr>
            <w:tcW w:w="571" w:type="dxa"/>
            <w:vAlign w:val="center"/>
          </w:tcPr>
          <w:p>
            <w:pPr>
              <w:rPr>
                <w:rFonts w:hint="eastAsia" w:eastAsia="宋体"/>
                <w:lang w:val="en-US" w:eastAsia="zh-CN"/>
              </w:rPr>
            </w:pPr>
            <w:r>
              <w:rPr>
                <w:rFonts w:hint="eastAsia"/>
                <w:lang w:val="en-US" w:eastAsia="zh-CN"/>
              </w:rPr>
              <w:t>19</w:t>
            </w:r>
          </w:p>
        </w:tc>
        <w:tc>
          <w:tcPr>
            <w:tcW w:w="2803" w:type="dxa"/>
            <w:vAlign w:val="center"/>
          </w:tcPr>
          <w:p>
            <w:pPr>
              <w:rPr>
                <w:lang w:eastAsia="ja-JP"/>
              </w:rPr>
            </w:pPr>
            <w:r>
              <w:rPr>
                <w:sz w:val="20"/>
              </w:rPr>
              <w:t>通讯设施结构件的生产（需资质许可要求的除外）</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tc>
        <w:tc>
          <w:tcPr>
            <w:tcW w:w="2179" w:type="dxa"/>
            <w:vAlign w:val="center"/>
          </w:tcPr>
          <w:p>
            <w:r>
              <w:t>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cs="楷体"/>
                <w:color w:val="auto"/>
                <w:sz w:val="21"/>
                <w:szCs w:val="21"/>
                <w:lang w:val="en-US" w:eastAsia="zh-CN"/>
              </w:rPr>
              <w:t>2021年9月23日的第一次监督审核未开具不符合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704850" cy="2540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04850" cy="25400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2022.10.27</w:t>
            </w:r>
            <w:bookmarkStart w:id="31" w:name="_GoBack"/>
            <w:bookmarkEnd w:id="31"/>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宋体" w:hAnsi="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rPr>
                    <w:t>■</w:t>
                  </w:r>
                  <w:r>
                    <w:rPr>
                      <w:rFonts w:hint="eastAsia"/>
                    </w:rPr>
                    <w:t>法律法规</w:t>
                  </w:r>
                  <w:r>
                    <w:rPr>
                      <w:rFonts w:hint="eastAsia" w:ascii="宋体" w:hAnsi="宋体"/>
                    </w:rPr>
                    <w:t>■</w:t>
                  </w:r>
                  <w:r>
                    <w:rPr>
                      <w:rFonts w:hint="eastAsia"/>
                    </w:rPr>
                    <w:t>技术</w:t>
                  </w:r>
                  <w:r>
                    <w:rPr>
                      <w:rFonts w:hint="eastAsia" w:ascii="宋体" w:hAnsi="宋体"/>
                    </w:rPr>
                    <w:t>■</w:t>
                  </w:r>
                  <w:r>
                    <w:rPr>
                      <w:rFonts w:hint="eastAsia"/>
                    </w:rPr>
                    <w:t>竞争</w:t>
                  </w:r>
                  <w:r>
                    <w:rPr>
                      <w:rFonts w:hint="eastAsia" w:ascii="宋体" w:hAnsi="宋体"/>
                    </w:rPr>
                    <w:t>■</w:t>
                  </w:r>
                  <w:r>
                    <w:rPr>
                      <w:rFonts w:hint="eastAsia"/>
                    </w:rPr>
                    <w:t>市场</w:t>
                  </w:r>
                  <w:r>
                    <w:rPr>
                      <w:rFonts w:hint="eastAsia" w:ascii="宋体" w:hAnsi="宋体"/>
                    </w:rPr>
                    <w:t>■</w:t>
                  </w:r>
                  <w:r>
                    <w:rPr>
                      <w:rFonts w:hint="eastAsia"/>
                    </w:rPr>
                    <w:t>文化</w:t>
                  </w:r>
                  <w:r>
                    <w:rPr>
                      <w:rFonts w:hint="eastAsia" w:ascii="宋体" w:hAnsi="宋体"/>
                    </w:rPr>
                    <w:t>■</w:t>
                  </w:r>
                  <w:r>
                    <w:rPr>
                      <w:rFonts w:hint="eastAsia"/>
                    </w:rPr>
                    <w:t>社会</w:t>
                  </w:r>
                  <w:r>
                    <w:rPr>
                      <w:rFonts w:hint="eastAsia" w:ascii="宋体" w:hAnsi="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rPr>
                    <w:t>■</w:t>
                  </w:r>
                  <w:r>
                    <w:rPr>
                      <w:rFonts w:hint="eastAsia"/>
                    </w:rPr>
                    <w:t>价值观</w:t>
                  </w:r>
                  <w:r>
                    <w:rPr>
                      <w:rFonts w:hint="eastAsia" w:ascii="宋体" w:hAnsi="宋体"/>
                    </w:rPr>
                    <w:t>■</w:t>
                  </w:r>
                  <w:r>
                    <w:rPr>
                      <w:rFonts w:hint="eastAsia"/>
                    </w:rPr>
                    <w:t>文化</w:t>
                  </w:r>
                  <w:r>
                    <w:rPr>
                      <w:rFonts w:hint="eastAsia" w:ascii="宋体" w:hAnsi="宋体"/>
                    </w:rPr>
                    <w:t>■</w:t>
                  </w:r>
                  <w:r>
                    <w:rPr>
                      <w:rFonts w:hint="eastAsia"/>
                    </w:rPr>
                    <w:t>知识</w:t>
                  </w:r>
                  <w:r>
                    <w:rPr>
                      <w:rFonts w:hint="eastAsia" w:ascii="宋体" w:hAnsi="宋体"/>
                    </w:rPr>
                    <w:t>■</w:t>
                  </w:r>
                  <w:r>
                    <w:rPr>
                      <w:rFonts w:hint="eastAsia"/>
                    </w:rPr>
                    <w:t>绩效</w:t>
                  </w:r>
                  <w:r>
                    <w:rPr>
                      <w:rFonts w:hint="eastAsia" w:ascii="宋体" w:hAnsi="宋体"/>
                    </w:rPr>
                    <w:t>■</w:t>
                  </w:r>
                  <w:r>
                    <w:rPr>
                      <w:rFonts w:hint="eastAsia"/>
                    </w:rPr>
                    <w:t>工艺</w:t>
                  </w:r>
                  <w:r>
                    <w:rPr>
                      <w:rFonts w:hint="eastAsia" w:ascii="宋体" w:hAnsi="宋体"/>
                    </w:rPr>
                    <w:t>■</w:t>
                  </w:r>
                  <w:r>
                    <w:rPr>
                      <w:rFonts w:hint="eastAsia"/>
                    </w:rPr>
                    <w:t>设备</w:t>
                  </w:r>
                  <w:r>
                    <w:rPr>
                      <w:rFonts w:hint="eastAsia" w:ascii="宋体" w:hAnsi="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rPr>
              <w:t>■</w:t>
            </w:r>
            <w:r>
              <w:rPr>
                <w:rFonts w:hint="eastAsia"/>
              </w:rPr>
              <w:t>市场拓展</w:t>
            </w:r>
            <w:r>
              <w:rPr>
                <w:rFonts w:hint="eastAsia" w:ascii="宋体" w:hAnsi="宋体"/>
              </w:rPr>
              <w:t>■</w:t>
            </w:r>
            <w:r>
              <w:rPr>
                <w:rFonts w:hint="eastAsia"/>
              </w:rPr>
              <w:t>设备能力</w:t>
            </w:r>
            <w:r>
              <w:rPr>
                <w:rFonts w:hint="eastAsia" w:ascii="宋体" w:hAnsi="宋体"/>
              </w:rPr>
              <w:t>■</w:t>
            </w:r>
            <w:r>
              <w:rPr>
                <w:rFonts w:hint="eastAsia"/>
              </w:rPr>
              <w:t>人员能力</w:t>
            </w:r>
            <w:r>
              <w:rPr>
                <w:rFonts w:hint="eastAsia" w:ascii="宋体" w:hAnsi="宋体"/>
              </w:rPr>
              <w:t>■</w:t>
            </w:r>
            <w:r>
              <w:rPr>
                <w:rFonts w:hint="eastAsia"/>
              </w:rPr>
              <w:t>检测水平</w:t>
            </w:r>
            <w:r>
              <w:rPr>
                <w:rFonts w:hint="eastAsia" w:ascii="宋体" w:hAnsi="宋体"/>
              </w:rPr>
              <w:t>■</w:t>
            </w:r>
            <w:r>
              <w:rPr>
                <w:rFonts w:hint="eastAsia"/>
              </w:rPr>
              <w:t>合同评审</w:t>
            </w:r>
            <w:r>
              <w:rPr>
                <w:rFonts w:hint="eastAsia" w:ascii="宋体" w:hAnsi="宋体"/>
              </w:rPr>
              <w:t>■</w:t>
            </w:r>
            <w:r>
              <w:rPr>
                <w:rFonts w:hint="eastAsia"/>
              </w:rPr>
              <w:t>知识保密</w:t>
            </w:r>
          </w:p>
          <w:p>
            <w:pPr>
              <w:shd w:val="clear" w:color="auto" w:fill="C7DAF1" w:themeFill="text2" w:themeFillTint="32"/>
              <w:spacing w:before="40" w:after="40"/>
            </w:pPr>
            <w:r>
              <w:rPr>
                <w:rFonts w:hint="eastAsia"/>
              </w:rPr>
              <w:t>□新产品设计开发</w:t>
            </w:r>
            <w:r>
              <w:rPr>
                <w:rFonts w:hint="eastAsia" w:ascii="宋体" w:hAnsi="宋体"/>
              </w:rPr>
              <w:t>■</w:t>
            </w:r>
            <w:r>
              <w:rPr>
                <w:rFonts w:hint="eastAsia"/>
              </w:rPr>
              <w:t>原材料采购</w:t>
            </w:r>
            <w:r>
              <w:rPr>
                <w:rFonts w:hint="eastAsia" w:ascii="宋体" w:hAnsi="宋体"/>
              </w:rPr>
              <w:t>■</w:t>
            </w:r>
            <w:r>
              <w:rPr>
                <w:rFonts w:hint="eastAsia"/>
              </w:rPr>
              <w:t>外部供方控制</w:t>
            </w:r>
            <w:r>
              <w:rPr>
                <w:rFonts w:hint="eastAsia" w:ascii="宋体" w:hAnsi="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宋体" w:hAnsi="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rPr>
              <w:t>■</w:t>
            </w:r>
            <w:r>
              <w:rPr>
                <w:rFonts w:hint="eastAsia"/>
              </w:rPr>
              <w:t>以身作则</w:t>
            </w:r>
            <w:r>
              <w:rPr>
                <w:rFonts w:hint="eastAsia" w:ascii="宋体" w:hAnsi="宋体"/>
              </w:rPr>
              <w:t>■</w:t>
            </w:r>
            <w:r>
              <w:rPr>
                <w:rFonts w:hint="eastAsia"/>
              </w:rPr>
              <w:t>建立机制</w:t>
            </w:r>
            <w:r>
              <w:rPr>
                <w:rFonts w:hint="eastAsia" w:ascii="宋体" w:hAnsi="宋体"/>
              </w:rPr>
              <w:t>■</w:t>
            </w:r>
            <w:r>
              <w:rPr>
                <w:rFonts w:hint="eastAsia"/>
              </w:rPr>
              <w:t>法规宣</w:t>
            </w:r>
            <w:r>
              <w:rPr>
                <w:rFonts w:hint="eastAsia" w:ascii="宋体" w:hAnsi="宋体"/>
              </w:rPr>
              <w:t>■</w:t>
            </w:r>
            <w:r>
              <w:rPr>
                <w:rFonts w:hint="eastAsia"/>
              </w:rPr>
              <w:t>风险机遇的应对</w:t>
            </w:r>
            <w:r>
              <w:rPr>
                <w:rFonts w:hint="eastAsia" w:ascii="宋体" w:hAnsi="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楷体" w:hAnsi="楷体" w:eastAsia="楷体"/>
                <w:szCs w:val="21"/>
              </w:rPr>
              <w:t>质量第一  求实创新   优质高效   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pPr>
                    <w:shd w:val="clear" w:color="auto" w:fill="C7DAF1" w:themeFill="text2" w:themeFillTint="32"/>
                  </w:pPr>
                  <w:r>
                    <w:rPr>
                      <w:rFonts w:hint="eastAsia"/>
                    </w:rPr>
                    <w:t>加强原材料的质量控制、增加过程质量控制力度，对质检员严格考核合格后上岗</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tcPr>
                <w:p>
                  <w:pPr>
                    <w:shd w:val="clear" w:color="auto" w:fill="C7DAF1" w:themeFill="text2" w:themeFillTint="32"/>
                  </w:pPr>
                  <w:r>
                    <w:rPr>
                      <w:rFonts w:hint="eastAsia"/>
                    </w:rPr>
                    <w:t>1.加强与客户进行质量标准制定的沟通，统一双方的标准和检测方法</w:t>
                  </w:r>
                </w:p>
                <w:p>
                  <w:pPr>
                    <w:shd w:val="clear" w:color="auto" w:fill="C7DAF1" w:themeFill="text2" w:themeFillTint="32"/>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楷体" w:hAnsi="楷体" w:eastAsia="楷体"/>
                      <w:szCs w:val="21"/>
                    </w:rPr>
                    <w:t>出厂产品合格率100%</w:t>
                  </w:r>
                </w:p>
              </w:tc>
              <w:tc>
                <w:tcPr>
                  <w:tcW w:w="3136" w:type="dxa"/>
                  <w:shd w:val="clear" w:color="auto" w:fill="auto"/>
                  <w:vAlign w:val="center"/>
                </w:tcPr>
                <w:p>
                  <w:pPr>
                    <w:jc w:val="center"/>
                    <w:rPr>
                      <w:rFonts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rPr>
                    <w:t>生产部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w:t>
                  </w:r>
                  <w:r>
                    <w:rPr>
                      <w:rFonts w:hint="eastAsia"/>
                    </w:rPr>
                    <w:tab/>
                  </w:r>
                  <w:r>
                    <w:rPr>
                      <w:rFonts w:hint="eastAsia"/>
                    </w:rPr>
                    <w:t>≥90%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办公室</w:t>
                  </w:r>
                </w:p>
              </w:tc>
              <w:tc>
                <w:tcPr>
                  <w:tcW w:w="1774" w:type="dxa"/>
                  <w:shd w:val="clear" w:color="auto" w:fill="auto"/>
                  <w:vAlign w:val="center"/>
                </w:tcPr>
                <w:p>
                  <w:pPr>
                    <w:shd w:val="clear" w:color="auto" w:fill="C7DAF1" w:themeFill="text2" w:themeFillTint="32"/>
                    <w:jc w:val="center"/>
                    <w:rPr>
                      <w:rFonts w:ascii="宋体" w:hAnsi="宋体"/>
                    </w:rPr>
                  </w:pPr>
                  <w:r>
                    <w:rPr>
                      <w:rFonts w:ascii="宋体" w:hAnsi="宋体"/>
                    </w:rPr>
                    <w:t>100</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800</w:t>
            </w:r>
            <w:r>
              <w:rPr>
                <w:rFonts w:hint="eastAsia"/>
              </w:rPr>
              <w:t>平方米；生产车间1个；库房个；实验室个；</w:t>
            </w:r>
          </w:p>
          <w:p>
            <w:pPr>
              <w:shd w:val="clear" w:color="auto" w:fill="C7DAF1" w:themeFill="text2" w:themeFillTint="32"/>
              <w:rPr>
                <w:u w:val="single"/>
              </w:rPr>
            </w:pPr>
            <w:r>
              <w:rPr>
                <w:rFonts w:hint="eastAsia"/>
              </w:rPr>
              <w:t>主要生产设备有：</w:t>
            </w:r>
            <w:r>
              <w:rPr>
                <w:rFonts w:hint="eastAsia" w:ascii="楷体" w:hAnsi="楷体" w:eastAsia="楷体"/>
                <w:szCs w:val="21"/>
              </w:rPr>
              <w:t>加工中心津上（VA3）5台、加工中心津上（VA1）3台、加工中心汉川（HX715）2台</w:t>
            </w:r>
            <w:r>
              <w:rPr>
                <w:rFonts w:hint="eastAsia"/>
                <w:u w:val="single"/>
              </w:rPr>
              <w:t>（列举2~4种）</w:t>
            </w:r>
          </w:p>
          <w:p>
            <w:pPr>
              <w:shd w:val="clear" w:color="auto" w:fill="C7DAF1" w:themeFill="text2" w:themeFillTint="32"/>
              <w:rPr>
                <w:rFonts w:hint="eastAsia"/>
              </w:rPr>
            </w:pPr>
            <w:r>
              <w:rPr>
                <w:rFonts w:hint="eastAsia"/>
              </w:rPr>
              <w:t>特种设备：</w:t>
            </w:r>
            <w:r>
              <w:rPr>
                <w:rFonts w:hint="eastAsia" w:ascii="Wingdings" w:hAnsi="Wingdings"/>
              </w:rPr>
              <w:t xml:space="preserve"> 无</w:t>
            </w:r>
          </w:p>
          <w:p>
            <w:pPr>
              <w:shd w:val="clear" w:color="auto" w:fill="C7DAF1" w:themeFill="text2" w:themeFillTint="32"/>
            </w:pPr>
            <w:r>
              <w:rPr>
                <w:rFonts w:hint="eastAsia" w:ascii="宋体" w:hAnsi="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lang w:eastAsia="zh-CN"/>
              </w:rPr>
              <w:t>、</w:t>
            </w:r>
            <w:r>
              <w:rPr>
                <w:rFonts w:hint="eastAsia"/>
                <w:lang w:val="en-US" w:eastAsia="zh-CN"/>
              </w:rPr>
              <w:t>外校</w:t>
            </w:r>
            <w:r>
              <w:rPr>
                <w:rFonts w:hint="eastAsia" w:ascii="Wingdings" w:hAnsi="Wingdings"/>
              </w:rPr>
              <w:t>¨</w:t>
            </w:r>
            <w:r>
              <w:rPr>
                <w:rFonts w:hint="eastAsia"/>
              </w:rPr>
              <w:t xml:space="preserve"> </w:t>
            </w:r>
          </w:p>
          <w:p>
            <w:pPr>
              <w:shd w:val="clear" w:color="auto" w:fill="C7DAF1" w:themeFill="text2" w:themeFillTint="32"/>
              <w:rPr>
                <w:u w:val="single"/>
              </w:rPr>
            </w:pPr>
            <w:r>
              <w:rPr>
                <w:rFonts w:hint="eastAsia"/>
              </w:rPr>
              <w:t>国家强检的计量器具有：数显游标卡尺、千分尺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市场预测</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rPr>
              <w:t>■</w:t>
            </w:r>
            <w:r>
              <w:rPr>
                <w:rFonts w:hint="eastAsia"/>
              </w:rPr>
              <w:t xml:space="preserve">法律法规获取充分，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35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04" w:type="dxa"/>
                </w:tcPr>
                <w:p>
                  <w:pPr>
                    <w:shd w:val="clear" w:color="auto" w:fill="C7DAF1" w:themeFill="text2" w:themeFillTint="32"/>
                    <w:jc w:val="left"/>
                  </w:pPr>
                  <w:r>
                    <w:rPr>
                      <w:rFonts w:hint="eastAsia"/>
                    </w:rPr>
                    <w:t>产品/服务名称</w:t>
                  </w:r>
                </w:p>
              </w:tc>
              <w:tc>
                <w:tcPr>
                  <w:tcW w:w="335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Pr>
                <w:p>
                  <w:pPr>
                    <w:shd w:val="clear" w:color="auto" w:fill="C7DAF1" w:themeFill="text2" w:themeFillTint="32"/>
                    <w:jc w:val="left"/>
                  </w:pPr>
                  <w:r>
                    <w:rPr>
                      <w:rFonts w:hint="eastAsia" w:ascii="楷体" w:hAnsi="楷体" w:eastAsia="楷体"/>
                      <w:szCs w:val="21"/>
                    </w:rPr>
                    <w:t>通讯设施结构件的生产（需资质许可要求的除外）</w:t>
                  </w:r>
                </w:p>
              </w:tc>
              <w:tc>
                <w:tcPr>
                  <w:tcW w:w="3353" w:type="dxa"/>
                </w:tcPr>
                <w:p>
                  <w:pPr>
                    <w:shd w:val="clear" w:color="auto" w:fill="C7DAF1" w:themeFill="text2" w:themeFillTint="32"/>
                    <w:jc w:val="left"/>
                    <w:rPr>
                      <w:rFonts w:hint="eastAsia"/>
                    </w:rPr>
                  </w:pPr>
                  <w:r>
                    <w:rPr>
                      <w:rFonts w:hint="eastAsia"/>
                    </w:rPr>
                    <w:t>原材料检验、编程、机械加工、成品检验</w:t>
                  </w:r>
                </w:p>
              </w:tc>
              <w:tc>
                <w:tcPr>
                  <w:tcW w:w="3265" w:type="dxa"/>
                </w:tcPr>
                <w:p>
                  <w:pPr>
                    <w:shd w:val="clear" w:color="auto" w:fill="C7DAF1" w:themeFill="text2" w:themeFillTint="32"/>
                    <w:jc w:val="left"/>
                  </w:pPr>
                  <w:r>
                    <w:rPr>
                      <w:rFonts w:hint="eastAsia"/>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Pr>
                <w:p>
                  <w:pPr>
                    <w:shd w:val="clear" w:color="auto" w:fill="C7DAF1" w:themeFill="text2" w:themeFillTint="32"/>
                    <w:jc w:val="left"/>
                  </w:pPr>
                </w:p>
              </w:tc>
              <w:tc>
                <w:tcPr>
                  <w:tcW w:w="335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Pr>
                <w:p>
                  <w:pPr>
                    <w:shd w:val="clear" w:color="auto" w:fill="C7DAF1" w:themeFill="text2" w:themeFillTint="32"/>
                    <w:jc w:val="left"/>
                  </w:pPr>
                </w:p>
              </w:tc>
              <w:tc>
                <w:tcPr>
                  <w:tcW w:w="335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 xml:space="preserve"> 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w:t>
            </w:r>
            <w:r>
              <w:t>02</w:t>
            </w:r>
            <w:r>
              <w:rPr>
                <w:rFonts w:hint="eastAsia"/>
                <w:lang w:val="en-US" w:eastAsia="zh-CN"/>
              </w:rPr>
              <w:t>2</w:t>
            </w:r>
            <w:r>
              <w:rPr>
                <w:rFonts w:hint="eastAsia"/>
              </w:rPr>
              <w:t>年6月</w:t>
            </w:r>
            <w:r>
              <w:rPr>
                <w:rFonts w:hint="eastAsia"/>
                <w:lang w:val="en-US" w:eastAsia="zh-CN"/>
              </w:rPr>
              <w:t>2</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w:t>
            </w:r>
            <w:r>
              <w:t>02</w:t>
            </w:r>
            <w:r>
              <w:rPr>
                <w:rFonts w:hint="eastAsia"/>
                <w:lang w:val="en-US" w:eastAsia="zh-CN"/>
              </w:rPr>
              <w:t>2</w:t>
            </w:r>
            <w:r>
              <w:rPr>
                <w:rFonts w:hint="eastAsia"/>
              </w:rPr>
              <w:t>年6月1</w:t>
            </w:r>
            <w:r>
              <w:rPr>
                <w:rFonts w:hint="eastAsia"/>
                <w:lang w:val="en-US" w:eastAsia="zh-CN"/>
              </w:rPr>
              <w:t>3</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rPr>
            </w:pPr>
            <w:r>
              <w:rPr>
                <w:rFonts w:hint="eastAsia"/>
              </w:rPr>
              <w:t>1</w:t>
            </w:r>
          </w:p>
        </w:tc>
        <w:tc>
          <w:tcPr>
            <w:tcW w:w="650" w:type="dxa"/>
            <w:vAlign w:val="center"/>
          </w:tcPr>
          <w:p>
            <w:pPr>
              <w:shd w:val="clear" w:color="auto" w:fill="C7DAF1" w:themeFill="text2" w:themeFillTint="32"/>
              <w:rPr>
                <w:rFonts w:hint="eastAsia"/>
              </w:rPr>
            </w:pPr>
            <w:r>
              <w:rPr>
                <w:rFonts w:hint="eastAsia"/>
              </w:rPr>
              <w:t>1</w:t>
            </w:r>
          </w:p>
        </w:tc>
        <w:tc>
          <w:tcPr>
            <w:tcW w:w="650" w:type="dxa"/>
            <w:vAlign w:val="center"/>
          </w:tcPr>
          <w:p>
            <w:pPr>
              <w:shd w:val="clear" w:color="auto" w:fill="C7DAF1" w:themeFill="text2" w:themeFillTint="32"/>
              <w:rPr>
                <w:rFonts w:hint="eastAsia"/>
              </w:rPr>
            </w:pPr>
            <w:r>
              <w:rPr>
                <w:rFonts w:hint="eastAsia"/>
              </w:rPr>
              <w:t>1</w:t>
            </w:r>
          </w:p>
        </w:tc>
        <w:tc>
          <w:tcPr>
            <w:tcW w:w="649" w:type="dxa"/>
            <w:vAlign w:val="center"/>
          </w:tcPr>
          <w:p>
            <w:pPr>
              <w:shd w:val="clear" w:color="auto" w:fill="C7DAF1" w:themeFill="text2" w:themeFillTint="32"/>
              <w:rPr>
                <w:rFonts w:hint="eastAsia"/>
              </w:rPr>
            </w:pPr>
            <w:r>
              <w:rPr>
                <w:rFonts w:hint="eastAsia"/>
              </w:rPr>
              <w:t>1</w:t>
            </w:r>
          </w:p>
        </w:tc>
        <w:tc>
          <w:tcPr>
            <w:tcW w:w="650" w:type="dxa"/>
            <w:vAlign w:val="center"/>
          </w:tcPr>
          <w:p>
            <w:pPr>
              <w:shd w:val="clear" w:color="auto" w:fill="C7DAF1" w:themeFill="text2" w:themeFillTint="32"/>
              <w:rPr>
                <w:rFonts w:hint="eastAsia"/>
              </w:rPr>
            </w:pPr>
            <w:r>
              <w:rPr>
                <w:rFonts w:hint="eastAsia"/>
              </w:rPr>
              <w:t>1</w:t>
            </w:r>
          </w:p>
        </w:tc>
        <w:tc>
          <w:tcPr>
            <w:tcW w:w="650" w:type="dxa"/>
            <w:vAlign w:val="center"/>
          </w:tcPr>
          <w:p>
            <w:pPr>
              <w:shd w:val="clear" w:color="auto" w:fill="C7DAF1" w:themeFill="text2" w:themeFillTint="32"/>
              <w:rPr>
                <w:rFonts w:hint="eastAsia"/>
              </w:rPr>
            </w:pPr>
            <w:r>
              <w:rPr>
                <w:rFonts w:hint="eastAsia"/>
              </w:rPr>
              <w:t>1</w:t>
            </w:r>
          </w:p>
        </w:tc>
        <w:tc>
          <w:tcPr>
            <w:tcW w:w="649" w:type="dxa"/>
            <w:vAlign w:val="center"/>
          </w:tcPr>
          <w:p>
            <w:pPr>
              <w:shd w:val="clear" w:color="auto" w:fill="C7DAF1" w:themeFill="text2" w:themeFillTint="32"/>
              <w:rPr>
                <w:rFonts w:hint="eastAsia"/>
              </w:rPr>
            </w:pPr>
            <w:r>
              <w:rPr>
                <w:rFonts w:hint="eastAsia"/>
              </w:rPr>
              <w:t>1</w:t>
            </w:r>
          </w:p>
        </w:tc>
        <w:tc>
          <w:tcPr>
            <w:tcW w:w="650" w:type="dxa"/>
            <w:vAlign w:val="center"/>
          </w:tcPr>
          <w:p>
            <w:pPr>
              <w:shd w:val="clear" w:color="auto" w:fill="C7DAF1" w:themeFill="text2" w:themeFillTint="32"/>
              <w:rPr>
                <w:rFonts w:hint="eastAsia"/>
              </w:rPr>
            </w:pPr>
            <w:r>
              <w:rPr>
                <w:rFonts w:hint="eastAsia"/>
              </w:rPr>
              <w:t>1</w:t>
            </w:r>
          </w:p>
        </w:tc>
        <w:tc>
          <w:tcPr>
            <w:tcW w:w="650" w:type="dxa"/>
            <w:vAlign w:val="center"/>
          </w:tcPr>
          <w:p>
            <w:pPr>
              <w:shd w:val="clear" w:color="auto" w:fill="C7DAF1" w:themeFill="text2" w:themeFillTint="32"/>
              <w:rPr>
                <w:rFonts w:hint="eastAsia"/>
              </w:rPr>
            </w:pPr>
            <w:r>
              <w:rPr>
                <w:rFonts w:hint="eastAsia"/>
              </w:rPr>
              <w:t>1</w:t>
            </w:r>
          </w:p>
        </w:tc>
        <w:tc>
          <w:tcPr>
            <w:tcW w:w="649" w:type="dxa"/>
            <w:vAlign w:val="center"/>
          </w:tcPr>
          <w:p>
            <w:pPr>
              <w:shd w:val="clear" w:color="auto" w:fill="C7DAF1" w:themeFill="text2" w:themeFillTint="32"/>
              <w:rPr>
                <w:rFonts w:hint="eastAsia"/>
              </w:rPr>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rPr>
            </w:pPr>
            <w:r>
              <w:rPr>
                <w:rFonts w:hint="eastAsia"/>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rPr>
            </w:pPr>
            <w:r>
              <w:rPr>
                <w:rFonts w:hint="eastAsia"/>
              </w:rPr>
              <w:t>1</w:t>
            </w:r>
          </w:p>
        </w:tc>
        <w:tc>
          <w:tcPr>
            <w:tcW w:w="649" w:type="dxa"/>
            <w:vAlign w:val="center"/>
          </w:tcPr>
          <w:p>
            <w:pPr>
              <w:shd w:val="clear" w:color="auto" w:fill="C7DAF1" w:themeFill="text2" w:themeFillTint="32"/>
              <w:rPr>
                <w:rFonts w:hint="eastAsia"/>
              </w:rPr>
            </w:pPr>
            <w:r>
              <w:rPr>
                <w:rFonts w:hint="eastAsia"/>
              </w:rPr>
              <w:t>1</w:t>
            </w:r>
          </w:p>
        </w:tc>
        <w:tc>
          <w:tcPr>
            <w:tcW w:w="650" w:type="dxa"/>
            <w:vAlign w:val="center"/>
          </w:tcPr>
          <w:p>
            <w:pPr>
              <w:shd w:val="clear" w:color="auto" w:fill="C7DAF1" w:themeFill="text2" w:themeFillTint="32"/>
              <w:rPr>
                <w:rFonts w:hint="eastAsia"/>
              </w:rPr>
            </w:pPr>
            <w:r>
              <w:rPr>
                <w:rFonts w:hint="eastAsia"/>
              </w:rPr>
              <w:t>3</w:t>
            </w:r>
          </w:p>
        </w:tc>
        <w:tc>
          <w:tcPr>
            <w:tcW w:w="650" w:type="dxa"/>
            <w:vAlign w:val="center"/>
          </w:tcPr>
          <w:p>
            <w:pPr>
              <w:shd w:val="clear" w:color="auto" w:fill="C7DAF1" w:themeFill="text2" w:themeFillTint="32"/>
              <w:rPr>
                <w:rFonts w:hint="eastAsia"/>
              </w:rPr>
            </w:pPr>
            <w:r>
              <w:rPr>
                <w:rFonts w:hint="eastAsia"/>
              </w:rPr>
              <w:t>1</w:t>
            </w:r>
          </w:p>
        </w:tc>
        <w:tc>
          <w:tcPr>
            <w:tcW w:w="649" w:type="dxa"/>
            <w:vAlign w:val="center"/>
          </w:tcPr>
          <w:p>
            <w:pPr>
              <w:shd w:val="clear" w:color="auto" w:fill="C7DAF1" w:themeFill="text2" w:themeFillTint="32"/>
              <w:rPr>
                <w:rFonts w:hint="eastAsia"/>
              </w:rPr>
            </w:pPr>
            <w:r>
              <w:rPr>
                <w:rFonts w:hint="eastAsia"/>
              </w:rPr>
              <w:t>1</w:t>
            </w:r>
          </w:p>
        </w:tc>
        <w:tc>
          <w:tcPr>
            <w:tcW w:w="650" w:type="dxa"/>
            <w:vAlign w:val="center"/>
          </w:tcPr>
          <w:p>
            <w:pPr>
              <w:shd w:val="clear" w:color="auto" w:fill="C7DAF1" w:themeFill="text2" w:themeFillTint="32"/>
              <w:rPr>
                <w:rFonts w:hint="eastAsia"/>
              </w:rPr>
            </w:pPr>
            <w:r>
              <w:rPr>
                <w:rFonts w:hint="eastAsia"/>
              </w:rPr>
              <w:t>1</w:t>
            </w:r>
          </w:p>
        </w:tc>
        <w:tc>
          <w:tcPr>
            <w:tcW w:w="650" w:type="dxa"/>
            <w:vAlign w:val="center"/>
          </w:tcPr>
          <w:p>
            <w:pPr>
              <w:shd w:val="clear" w:color="auto" w:fill="C7DAF1" w:themeFill="text2" w:themeFillTint="32"/>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rPr>
            </w:pPr>
            <w:r>
              <w:rPr>
                <w:rFonts w:hint="eastAsia"/>
              </w:rPr>
              <w:t>1</w:t>
            </w:r>
          </w:p>
        </w:tc>
        <w:tc>
          <w:tcPr>
            <w:tcW w:w="650" w:type="dxa"/>
            <w:vAlign w:val="center"/>
          </w:tcPr>
          <w:p>
            <w:pPr>
              <w:shd w:val="clear" w:color="auto" w:fill="C7DAF1" w:themeFill="text2" w:themeFillTint="32"/>
              <w:rPr>
                <w:rFonts w:hint="eastAsia"/>
              </w:rPr>
            </w:pPr>
            <w:r>
              <w:rPr>
                <w:rFonts w:hint="eastAsia"/>
              </w:rPr>
              <w:t>1</w:t>
            </w:r>
          </w:p>
        </w:tc>
        <w:tc>
          <w:tcPr>
            <w:tcW w:w="650" w:type="dxa"/>
            <w:vAlign w:val="center"/>
          </w:tcPr>
          <w:p>
            <w:pPr>
              <w:shd w:val="clear" w:color="auto" w:fill="C7DAF1" w:themeFill="text2" w:themeFillTint="32"/>
              <w:rPr>
                <w:rFonts w:hint="eastAsia"/>
              </w:rPr>
            </w:pPr>
            <w:r>
              <w:rPr>
                <w:rFonts w:hint="eastAsia"/>
              </w:rPr>
              <w:t>1</w:t>
            </w:r>
          </w:p>
        </w:tc>
        <w:tc>
          <w:tcPr>
            <w:tcW w:w="649" w:type="dxa"/>
            <w:vAlign w:val="center"/>
          </w:tcPr>
          <w:p>
            <w:pPr>
              <w:shd w:val="clear" w:color="auto" w:fill="C7DAF1" w:themeFill="text2" w:themeFillTint="32"/>
              <w:rPr>
                <w:rFonts w:hint="eastAsia"/>
              </w:rPr>
            </w:pPr>
            <w:r>
              <w:rPr>
                <w:rFonts w:hint="eastAsia"/>
              </w:rPr>
              <w:t>1</w:t>
            </w:r>
          </w:p>
        </w:tc>
        <w:tc>
          <w:tcPr>
            <w:tcW w:w="650" w:type="dxa"/>
            <w:vAlign w:val="center"/>
          </w:tcPr>
          <w:p>
            <w:pPr>
              <w:shd w:val="clear" w:color="auto" w:fill="C7DAF1" w:themeFill="text2" w:themeFillTint="32"/>
              <w:rPr>
                <w:rFonts w:hint="eastAsia"/>
              </w:rPr>
            </w:pPr>
            <w:r>
              <w:rPr>
                <w:rFonts w:hint="eastAsia"/>
              </w:rPr>
              <w:t>1</w:t>
            </w:r>
          </w:p>
        </w:tc>
        <w:tc>
          <w:tcPr>
            <w:tcW w:w="650" w:type="dxa"/>
            <w:vAlign w:val="center"/>
          </w:tcPr>
          <w:p>
            <w:pPr>
              <w:shd w:val="clear" w:color="auto" w:fill="C7DAF1" w:themeFill="text2" w:themeFillTint="32"/>
              <w:rPr>
                <w:rFonts w:hint="eastAsia"/>
              </w:rPr>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Lucida Sans">
    <w:panose1 w:val="020B0602030504020204"/>
    <w:charset w:val="00"/>
    <w:family w:val="swiss"/>
    <w:pitch w:val="default"/>
    <w:sig w:usb0="00000003" w:usb1="00000000" w:usb2="00000000" w:usb3="00000000" w:csb0="20000001"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微软雅黑"/>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20001" w:csb1="00000000"/>
  </w:font>
  <w:font w:name="叶根友钢笔行书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微软雅黑"/>
    <w:panose1 w:val="02010601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Damascus">
    <w:altName w:val="Courier New"/>
    <w:panose1 w:val="00000400000000000000"/>
    <w:charset w:val="00"/>
    <w:family w:val="auto"/>
    <w:pitch w:val="default"/>
    <w:sig w:usb0="00000000" w:usb1="00000000" w:usb2="14000008" w:usb3="00000000" w:csb0="00000001" w:csb1="00000000"/>
  </w:font>
  <w:font w:name="幼圆">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 w:name="Dutch801 Rm BT">
    <w:altName w:val="Times New Roman"/>
    <w:panose1 w:val="02020603060505020304"/>
    <w:charset w:val="00"/>
    <w:family w:val="roman"/>
    <w:pitch w:val="default"/>
    <w:sig w:usb0="00000000" w:usb1="00000000" w:usb2="00000000" w:usb3="00000000" w:csb0="0000001B" w:csb1="00000000"/>
  </w:font>
  <w:font w:name="方正姚体">
    <w:panose1 w:val="02010601030101010101"/>
    <w:charset w:val="86"/>
    <w:family w:val="auto"/>
    <w:pitch w:val="default"/>
    <w:sig w:usb0="00000003" w:usb1="080E0000" w:usb2="00000000" w:usb3="00000000" w:csb0="00040000"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New Gulim">
    <w:altName w:val="Malgun Gothic"/>
    <w:panose1 w:val="00000000000000000000"/>
    <w:charset w:val="81"/>
    <w:family w:val="roman"/>
    <w:pitch w:val="default"/>
    <w:sig w:usb0="00000000" w:usb1="00000000" w:usb2="00000030" w:usb3="00000000" w:csb0="0008009F"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Impact">
    <w:panose1 w:val="020B0806030902050204"/>
    <w:charset w:val="00"/>
    <w:family w:val="auto"/>
    <w:pitch w:val="default"/>
    <w:sig w:usb0="00000287" w:usb1="00000000" w:usb2="00000000" w:usb3="00000000" w:csb0="2000009F" w:csb1="DFD7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MS PGothic">
    <w:panose1 w:val="020B0600070205080204"/>
    <w:charset w:val="80"/>
    <w:family w:val="auto"/>
    <w:pitch w:val="default"/>
    <w:sig w:usb0="E00002FF" w:usb1="6AC7FDFB" w:usb2="08000012" w:usb3="00000000" w:csb0="4002009F" w:csb1="DFD7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Microsoft JhengHei UI Light">
    <w:panose1 w:val="020B0304030504040204"/>
    <w:charset w:val="88"/>
    <w:family w:val="swiss"/>
    <w:pitch w:val="default"/>
    <w:sig w:usb0="800002A7" w:usb1="28CF4400" w:usb2="00000016" w:usb3="00000000" w:csb0="00100009" w:csb1="00000000"/>
  </w:font>
  <w:font w:name="hiragino sans gb">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4286A51"/>
    <w:rsid w:val="1CDE7E99"/>
    <w:rsid w:val="24844D27"/>
    <w:rsid w:val="393B03A4"/>
    <w:rsid w:val="3A065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alloon Text"/>
    <w:basedOn w:val="1"/>
    <w:link w:val="17"/>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paragraph" w:customStyle="1" w:styleId="13">
    <w:name w:val="正文 首行缩进:  2 字符"/>
    <w:basedOn w:val="1"/>
    <w:qFormat/>
    <w:uiPriority w:val="0"/>
    <w:pPr>
      <w:ind w:firstLine="200" w:firstLineChars="200"/>
    </w:pPr>
    <w:rPr>
      <w:rFonts w:cs="宋体"/>
      <w:sz w:val="24"/>
      <w:szCs w:val="20"/>
    </w:rPr>
  </w:style>
  <w:style w:type="paragraph" w:customStyle="1" w:styleId="14">
    <w:name w:val="List Paragraph"/>
    <w:basedOn w:val="1"/>
    <w:qFormat/>
    <w:uiPriority w:val="34"/>
    <w:pPr>
      <w:ind w:firstLine="420" w:firstLineChars="200"/>
    </w:pPr>
  </w:style>
  <w:style w:type="character" w:customStyle="1" w:styleId="15">
    <w:name w:val="页眉 Char1"/>
    <w:basedOn w:val="8"/>
    <w:link w:val="5"/>
    <w:qFormat/>
    <w:uiPriority w:val="99"/>
    <w:rPr>
      <w:rFonts w:ascii="Times New Roman" w:hAnsi="Times New Roman" w:eastAsia="宋体" w:cs="Times New Roman"/>
      <w:sz w:val="18"/>
      <w:szCs w:val="18"/>
    </w:rPr>
  </w:style>
  <w:style w:type="character" w:customStyle="1" w:styleId="16">
    <w:name w:val="页脚 Char"/>
    <w:basedOn w:val="8"/>
    <w:link w:val="4"/>
    <w:qFormat/>
    <w:uiPriority w:val="99"/>
    <w:rPr>
      <w:rFonts w:ascii="Times New Roman" w:hAnsi="Times New Roman" w:eastAsia="宋体" w:cs="Times New Roman"/>
      <w:sz w:val="18"/>
      <w:szCs w:val="18"/>
    </w:rPr>
  </w:style>
  <w:style w:type="character" w:customStyle="1" w:styleId="17">
    <w:name w:val="批注框文本 Char"/>
    <w:basedOn w:val="8"/>
    <w:link w:val="3"/>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2022-10-26T11:37:44Z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