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四川鑫森管业有限公司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E:14.02.01</w:t>
            </w:r>
          </w:p>
          <w:p w:rsidR="008E67FF" w:rsidP="008E67FF">
            <w:pPr>
              <w:spacing w:line="240" w:lineRule="exact"/>
              <w:jc w:val="center"/>
              <w:rPr>
                <w:b/>
                <w:color w:val="000000" w:themeColor="text1"/>
                <w:sz w:val="20"/>
                <w:szCs w:val="20"/>
              </w:rPr>
            </w:pPr>
            <w:r>
              <w:rPr>
                <w:b/>
                <w:color w:val="000000" w:themeColor="text1"/>
                <w:sz w:val="20"/>
                <w:szCs w:val="20"/>
              </w:rPr>
              <w:t>O:14.02.01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24001-2016idtISO 14001:2015,O：GB/T 28001-2011idtOHSAS 18001:2007</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四川鑫森管业有限公司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成都市青白江区工业集中发展区创新路</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610300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成都市青白江区工业集中发展区创新路</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610300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贺经理</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17748491157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张茂华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张柏林</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E：电力、通信、市政用塑料管道的制造及其所涉及场所的相关环境管理活动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O：电力、通信、市政用塑料管道的制造及其所涉及场所的相关职业健康安全管理活动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E：14.02.01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O：14.02.01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2019-03-15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