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0681-2022-Q</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重庆瑞朗电气有限公司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91500000202879586B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重庆瑞朗电气有限公司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环保设备（许可除外的水、空气处理设备）的生产和销售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重庆市江北区港安二路48号6幢7-1</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重庆市江北区港安二路48号6幢7-1</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highlight w:val="none"/>
              </w:rPr>
            </w:pPr>
          </w:p>
        </w:tc>
        <w:tc>
          <w:tcPr>
            <w:tcW w:w="3373" w:type="dxa"/>
          </w:tcPr>
          <w:p>
            <w:pPr>
              <w:snapToGrid w:val="0"/>
              <w:spacing w:line="0" w:lineRule="atLeast"/>
              <w:jc w:val="left"/>
              <w:rPr>
                <w:color w:val="auto"/>
                <w:sz w:val="22"/>
                <w:szCs w:val="22"/>
                <w:highlight w:val="none"/>
              </w:rPr>
            </w:pPr>
            <w:r>
              <w:rPr>
                <w:rFonts w:hint="eastAsia"/>
                <w:color w:val="auto"/>
                <w:sz w:val="22"/>
                <w:szCs w:val="22"/>
                <w:highlight w:val="none"/>
                <w:lang w:val="en-GB"/>
              </w:rPr>
              <w:t xml:space="preserve">英文公司名称及地址                                                      </w:t>
            </w:r>
          </w:p>
        </w:tc>
        <w:tc>
          <w:tcPr>
            <w:tcW w:w="5013" w:type="dxa"/>
            <w:gridSpan w:val="4"/>
          </w:tcPr>
          <w:p>
            <w:pPr>
              <w:snapToGrid w:val="0"/>
              <w:spacing w:line="0" w:lineRule="atLeast"/>
              <w:jc w:val="left"/>
              <w:rPr>
                <w:color w:val="auto"/>
                <w:sz w:val="22"/>
                <w:szCs w:val="22"/>
                <w:highlight w:val="none"/>
                <w:lang w:val="en-GB"/>
              </w:rPr>
            </w:pPr>
            <w:r>
              <w:rPr>
                <w:rFonts w:hint="eastAsia"/>
                <w:color w:val="auto"/>
                <w:sz w:val="22"/>
                <w:szCs w:val="22"/>
                <w:highlight w:val="none"/>
                <w:lang w:val="en-GB"/>
              </w:rPr>
              <w:t xml:space="preserve">英文认证范围                </w:t>
            </w:r>
          </w:p>
          <w:p>
            <w:pPr>
              <w:snapToGrid w:val="0"/>
              <w:spacing w:line="0" w:lineRule="atLeast"/>
              <w:jc w:val="left"/>
              <w:rPr>
                <w:color w:val="auto"/>
                <w:sz w:val="22"/>
                <w:szCs w:val="22"/>
                <w:highlight w:val="none"/>
              </w:rPr>
            </w:pPr>
            <w:r>
              <w:rPr>
                <w:rFonts w:hint="eastAsia"/>
                <w:color w:val="auto"/>
                <w:sz w:val="22"/>
                <w:szCs w:val="22"/>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cs="Arial"/>
                <w:b/>
                <w:bCs/>
                <w:color w:val="auto"/>
                <w:sz w:val="22"/>
                <w:szCs w:val="16"/>
                <w:highlight w:val="none"/>
              </w:rPr>
            </w:pPr>
            <w:r>
              <w:rPr>
                <w:rFonts w:cs="Arial"/>
                <w:b/>
                <w:bCs/>
                <w:color w:val="auto"/>
                <w:sz w:val="22"/>
                <w:szCs w:val="16"/>
                <w:highlight w:val="none"/>
              </w:rPr>
              <w:t>Company Name</w:t>
            </w:r>
            <w:r>
              <w:rPr>
                <w:rFonts w:hint="eastAsia" w:cs="Arial"/>
                <w:b/>
                <w:bCs/>
                <w:color w:val="auto"/>
                <w:sz w:val="22"/>
                <w:szCs w:val="16"/>
                <w:highlight w:val="none"/>
                <w:lang w:val="en-GB"/>
              </w:rPr>
              <w:t>公司名称</w:t>
            </w:r>
          </w:p>
        </w:tc>
        <w:tc>
          <w:tcPr>
            <w:tcW w:w="3373" w:type="dxa"/>
            <w:vMerge w:val="restart"/>
          </w:tcPr>
          <w:p>
            <w:pPr>
              <w:snapToGrid w:val="0"/>
              <w:spacing w:line="0" w:lineRule="atLeast"/>
              <w:jc w:val="left"/>
              <w:rPr>
                <w:rFonts w:cs="Arial"/>
                <w:b w:val="0"/>
                <w:bCs w:val="0"/>
                <w:color w:val="auto"/>
                <w:sz w:val="22"/>
                <w:szCs w:val="16"/>
                <w:highlight w:val="none"/>
              </w:rPr>
            </w:pPr>
            <w:r>
              <w:rPr>
                <w:rFonts w:cs="Arial"/>
                <w:b w:val="0"/>
                <w:bCs w:val="0"/>
                <w:color w:val="auto"/>
                <w:sz w:val="22"/>
                <w:szCs w:val="16"/>
                <w:highlight w:val="none"/>
              </w:rPr>
              <w:t>RENOWNUV ELECTRIC CO., LTD.</w:t>
            </w: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QMS/EcMS</w:t>
            </w:r>
          </w:p>
        </w:tc>
        <w:tc>
          <w:tcPr>
            <w:tcW w:w="3676" w:type="dxa"/>
            <w:gridSpan w:val="3"/>
          </w:tcPr>
          <w:p>
            <w:pPr>
              <w:snapToGrid w:val="0"/>
              <w:spacing w:line="0" w:lineRule="atLeast"/>
              <w:jc w:val="left"/>
              <w:rPr>
                <w:rFonts w:cs="Arial"/>
                <w:b w:val="0"/>
                <w:bCs w:val="0"/>
                <w:color w:val="auto"/>
                <w:sz w:val="22"/>
                <w:szCs w:val="16"/>
                <w:highlight w:val="none"/>
              </w:rPr>
            </w:pPr>
            <w:r>
              <w:rPr>
                <w:rFonts w:cs="Arial"/>
                <w:b w:val="0"/>
                <w:bCs w:val="0"/>
                <w:color w:val="auto"/>
                <w:sz w:val="22"/>
                <w:szCs w:val="16"/>
                <w:highlight w:val="none"/>
              </w:rPr>
              <w:t>Environmental protection equipment (except water and air treatment equipment needs special permission) production and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auto"/>
                <w:sz w:val="22"/>
                <w:szCs w:val="16"/>
                <w:highlight w:val="none"/>
              </w:rPr>
            </w:pPr>
          </w:p>
        </w:tc>
        <w:tc>
          <w:tcPr>
            <w:tcW w:w="3373" w:type="dxa"/>
            <w:vMerge w:val="continue"/>
          </w:tcPr>
          <w:p>
            <w:pPr>
              <w:snapToGrid w:val="0"/>
              <w:spacing w:line="0" w:lineRule="atLeast"/>
              <w:jc w:val="left"/>
              <w:rPr>
                <w:rFonts w:cs="Arial"/>
                <w:b w:val="0"/>
                <w:bCs w:val="0"/>
                <w:color w:val="auto"/>
                <w:sz w:val="22"/>
                <w:szCs w:val="16"/>
                <w:highlight w:val="none"/>
              </w:rPr>
            </w:pP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EMS</w:t>
            </w:r>
          </w:p>
        </w:tc>
        <w:tc>
          <w:tcPr>
            <w:tcW w:w="3676" w:type="dxa"/>
            <w:gridSpan w:val="3"/>
          </w:tcPr>
          <w:p>
            <w:pPr>
              <w:snapToGrid w:val="0"/>
              <w:spacing w:line="0" w:lineRule="atLeast"/>
              <w:jc w:val="left"/>
              <w:rPr>
                <w:rFonts w:cs="Arial"/>
                <w:b w:val="0"/>
                <w:bCs w:val="0"/>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cs="Arial"/>
                <w:b/>
                <w:bCs/>
                <w:color w:val="auto"/>
                <w:sz w:val="22"/>
                <w:szCs w:val="16"/>
                <w:highlight w:val="none"/>
              </w:rPr>
            </w:pPr>
            <w:r>
              <w:rPr>
                <w:rFonts w:cs="Arial"/>
                <w:b/>
                <w:bCs/>
                <w:color w:val="auto"/>
                <w:sz w:val="22"/>
                <w:szCs w:val="16"/>
                <w:highlight w:val="none"/>
              </w:rPr>
              <w:fldChar w:fldCharType="begin"/>
            </w:r>
            <w:r>
              <w:rPr>
                <w:rFonts w:cs="Arial"/>
                <w:b/>
                <w:bCs/>
                <w:color w:val="auto"/>
                <w:sz w:val="22"/>
                <w:szCs w:val="16"/>
                <w:highlight w:val="none"/>
                <w:lang w:val="en-GB"/>
              </w:rPr>
              <w:instrText xml:space="preserve"> STYLEREF TM_street \* MERGEFORMAT </w:instrText>
            </w:r>
            <w:r>
              <w:rPr>
                <w:rFonts w:cs="Arial"/>
                <w:b/>
                <w:bCs/>
                <w:color w:val="auto"/>
                <w:sz w:val="22"/>
                <w:szCs w:val="16"/>
                <w:highlight w:val="none"/>
              </w:rPr>
              <w:fldChar w:fldCharType="end"/>
            </w:r>
            <w:r>
              <w:rPr>
                <w:rFonts w:cs="Arial"/>
                <w:b/>
                <w:bCs/>
                <w:color w:val="auto"/>
                <w:sz w:val="22"/>
                <w:szCs w:val="16"/>
                <w:highlight w:val="none"/>
              </w:rPr>
              <w:t>Registration Address</w:t>
            </w:r>
            <w:r>
              <w:rPr>
                <w:rFonts w:hint="eastAsia" w:cs="Arial"/>
                <w:b/>
                <w:bCs/>
                <w:color w:val="auto"/>
                <w:sz w:val="22"/>
                <w:szCs w:val="16"/>
                <w:highlight w:val="none"/>
                <w:lang w:val="en-GB"/>
              </w:rPr>
              <w:t>注册地址</w:t>
            </w:r>
          </w:p>
        </w:tc>
        <w:tc>
          <w:tcPr>
            <w:tcW w:w="3373" w:type="dxa"/>
            <w:vMerge w:val="restart"/>
          </w:tcPr>
          <w:p>
            <w:pPr>
              <w:snapToGrid w:val="0"/>
              <w:spacing w:line="0" w:lineRule="atLeast"/>
              <w:jc w:val="left"/>
              <w:rPr>
                <w:rFonts w:cs="Arial"/>
                <w:b w:val="0"/>
                <w:bCs w:val="0"/>
                <w:color w:val="auto"/>
                <w:sz w:val="22"/>
                <w:szCs w:val="16"/>
                <w:highlight w:val="none"/>
              </w:rPr>
            </w:pPr>
            <w:r>
              <w:rPr>
                <w:rFonts w:cs="Arial"/>
                <w:b w:val="0"/>
                <w:bCs w:val="0"/>
                <w:color w:val="auto"/>
                <w:sz w:val="22"/>
                <w:szCs w:val="16"/>
                <w:highlight w:val="none"/>
              </w:rPr>
              <w:t>7-1, Building 6, No. 48, Gang'An 2nd Road, Jiangbei District, Chongqing</w:t>
            </w: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OHSMS</w:t>
            </w:r>
          </w:p>
        </w:tc>
        <w:tc>
          <w:tcPr>
            <w:tcW w:w="3676" w:type="dxa"/>
            <w:gridSpan w:val="3"/>
          </w:tcPr>
          <w:p>
            <w:pPr>
              <w:snapToGrid w:val="0"/>
              <w:spacing w:line="0" w:lineRule="atLeast"/>
              <w:jc w:val="left"/>
              <w:rPr>
                <w:rFonts w:cs="Arial"/>
                <w:b w:val="0"/>
                <w:bCs w:val="0"/>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rFonts w:cs="Arial"/>
                <w:b/>
                <w:bCs/>
                <w:color w:val="auto"/>
                <w:sz w:val="22"/>
                <w:szCs w:val="16"/>
                <w:highlight w:val="none"/>
              </w:rPr>
            </w:pPr>
          </w:p>
        </w:tc>
        <w:tc>
          <w:tcPr>
            <w:tcW w:w="3373" w:type="dxa"/>
            <w:vMerge w:val="continue"/>
          </w:tcPr>
          <w:p>
            <w:pPr>
              <w:snapToGrid w:val="0"/>
              <w:spacing w:line="0" w:lineRule="atLeast"/>
              <w:jc w:val="left"/>
              <w:rPr>
                <w:rFonts w:cs="Arial"/>
                <w:b w:val="0"/>
                <w:bCs w:val="0"/>
                <w:color w:val="auto"/>
                <w:sz w:val="22"/>
                <w:szCs w:val="16"/>
                <w:highlight w:val="none"/>
              </w:rPr>
            </w:pP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EnMS</w:t>
            </w:r>
          </w:p>
        </w:tc>
        <w:tc>
          <w:tcPr>
            <w:tcW w:w="3676" w:type="dxa"/>
            <w:gridSpan w:val="3"/>
          </w:tcPr>
          <w:p>
            <w:pPr>
              <w:snapToGrid w:val="0"/>
              <w:spacing w:line="0" w:lineRule="atLeast"/>
              <w:jc w:val="left"/>
              <w:rPr>
                <w:rFonts w:cs="Arial"/>
                <w:b/>
                <w:bCs/>
                <w:color w:val="auto"/>
                <w:sz w:val="22"/>
                <w:szCs w:val="16"/>
                <w:highlight w:val="none"/>
              </w:rPr>
            </w:pP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cs="Arial"/>
                <w:b/>
                <w:bCs/>
                <w:color w:val="auto"/>
                <w:sz w:val="22"/>
                <w:szCs w:val="16"/>
                <w:highlight w:val="none"/>
                <w:lang w:val="en-GB"/>
              </w:rPr>
            </w:pPr>
            <w:r>
              <w:rPr>
                <w:rFonts w:cs="Arial"/>
                <w:b/>
                <w:bCs/>
                <w:color w:val="auto"/>
                <w:sz w:val="22"/>
                <w:szCs w:val="16"/>
                <w:highlight w:val="none"/>
              </w:rPr>
              <w:t>Operation Address</w:t>
            </w:r>
            <w:r>
              <w:rPr>
                <w:rFonts w:hint="eastAsia" w:cs="Arial"/>
                <w:b/>
                <w:bCs/>
                <w:color w:val="auto"/>
                <w:sz w:val="22"/>
                <w:szCs w:val="16"/>
                <w:highlight w:val="none"/>
              </w:rPr>
              <w:t>经营</w:t>
            </w:r>
            <w:r>
              <w:rPr>
                <w:rFonts w:hint="eastAsia" w:cs="Arial"/>
                <w:b/>
                <w:bCs/>
                <w:color w:val="auto"/>
                <w:sz w:val="22"/>
                <w:szCs w:val="16"/>
                <w:highlight w:val="none"/>
                <w:lang w:val="en-GB"/>
              </w:rPr>
              <w:t>地址</w:t>
            </w:r>
          </w:p>
        </w:tc>
        <w:tc>
          <w:tcPr>
            <w:tcW w:w="3373" w:type="dxa"/>
            <w:vMerge w:val="restart"/>
          </w:tcPr>
          <w:p>
            <w:pPr>
              <w:snapToGrid w:val="0"/>
              <w:spacing w:line="0" w:lineRule="atLeast"/>
              <w:jc w:val="left"/>
              <w:rPr>
                <w:rFonts w:cs="Arial"/>
                <w:b w:val="0"/>
                <w:bCs w:val="0"/>
                <w:color w:val="auto"/>
                <w:sz w:val="22"/>
                <w:szCs w:val="16"/>
                <w:highlight w:val="none"/>
              </w:rPr>
            </w:pPr>
            <w:r>
              <w:rPr>
                <w:rFonts w:cs="Arial"/>
                <w:b w:val="0"/>
                <w:bCs w:val="0"/>
                <w:color w:val="auto"/>
                <w:sz w:val="22"/>
                <w:szCs w:val="16"/>
                <w:highlight w:val="none"/>
              </w:rPr>
              <w:t>7-1, Building 6, No. 48, Gang'An 2nd Road, Jiangbei District, Chongqing</w:t>
            </w: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FSMS</w:t>
            </w:r>
          </w:p>
        </w:tc>
        <w:tc>
          <w:tcPr>
            <w:tcW w:w="3676" w:type="dxa"/>
            <w:gridSpan w:val="3"/>
          </w:tcPr>
          <w:p>
            <w:pPr>
              <w:snapToGrid w:val="0"/>
              <w:spacing w:line="0" w:lineRule="atLeast"/>
              <w:jc w:val="left"/>
              <w:rPr>
                <w:rFonts w:cs="Arial"/>
                <w:b/>
                <w:bCs/>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auto"/>
                <w:sz w:val="22"/>
                <w:szCs w:val="16"/>
                <w:highlight w:val="none"/>
              </w:rPr>
            </w:pPr>
          </w:p>
        </w:tc>
        <w:tc>
          <w:tcPr>
            <w:tcW w:w="3373" w:type="dxa"/>
            <w:vMerge w:val="continue"/>
          </w:tcPr>
          <w:p>
            <w:pPr>
              <w:snapToGrid w:val="0"/>
              <w:spacing w:line="0" w:lineRule="atLeast"/>
              <w:jc w:val="left"/>
              <w:rPr>
                <w:rFonts w:cs="Arial"/>
                <w:b/>
                <w:bCs/>
                <w:color w:val="auto"/>
                <w:sz w:val="22"/>
                <w:szCs w:val="16"/>
                <w:highlight w:val="none"/>
              </w:rPr>
            </w:pPr>
          </w:p>
        </w:tc>
        <w:tc>
          <w:tcPr>
            <w:tcW w:w="1337" w:type="dxa"/>
          </w:tcPr>
          <w:p>
            <w:pPr>
              <w:snapToGrid w:val="0"/>
              <w:spacing w:line="0" w:lineRule="atLeast"/>
              <w:jc w:val="left"/>
              <w:rPr>
                <w:rFonts w:cs="Arial"/>
                <w:b/>
                <w:bCs/>
                <w:color w:val="auto"/>
                <w:sz w:val="22"/>
                <w:szCs w:val="16"/>
                <w:highlight w:val="none"/>
              </w:rPr>
            </w:pPr>
            <w:r>
              <w:rPr>
                <w:rFonts w:hint="eastAsia" w:cs="Arial"/>
                <w:b/>
                <w:bCs/>
                <w:color w:val="auto"/>
                <w:sz w:val="22"/>
                <w:szCs w:val="16"/>
                <w:highlight w:val="none"/>
              </w:rPr>
              <w:t>HACCP</w:t>
            </w:r>
          </w:p>
        </w:tc>
        <w:tc>
          <w:tcPr>
            <w:tcW w:w="3676" w:type="dxa"/>
            <w:gridSpan w:val="3"/>
          </w:tcPr>
          <w:p>
            <w:pPr>
              <w:snapToGrid w:val="0"/>
              <w:spacing w:line="0" w:lineRule="atLeast"/>
              <w:jc w:val="left"/>
              <w:rPr>
                <w:rFonts w:cs="Arial"/>
                <w:b/>
                <w:bCs/>
                <w:color w:val="auto"/>
                <w:sz w:val="22"/>
                <w:szCs w:val="1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8E52EB"/>
    <w:rsid w:val="005619E6"/>
    <w:rsid w:val="006C0575"/>
    <w:rsid w:val="008E52EB"/>
    <w:rsid w:val="1B94434D"/>
    <w:rsid w:val="5BA50265"/>
    <w:rsid w:val="79C913B2"/>
    <w:rsid w:val="7E360A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714</Words>
  <Characters>1210</Characters>
  <Lines>11</Lines>
  <Paragraphs>3</Paragraphs>
  <TotalTime>20</TotalTime>
  <ScaleCrop>false</ScaleCrop>
  <LinksUpToDate>false</LinksUpToDate>
  <CharactersWithSpaces>1379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2022-10-21T03:40:00Z</cp:lastPrinted>
  <dcterms:modified xsi:type="dcterms:W3CDTF">2022-10-21T04:34:39Z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C6C2D0DE49E44FE1B82F10FB762BE3A4</vt:lpwstr>
  </property>
  <property fmtid="{D5CDD505-2E9C-101B-9397-08002B2CF9AE}" pid="3" name="KSOProductBuildVer">
    <vt:lpwstr>2052-11.1.0.12598</vt:lpwstr>
  </property>
</Properties>
</file>