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08"/>
        <w:gridCol w:w="1222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南通市通州区四安有色金属材料有限公司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08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</w:tc>
        <w:tc>
          <w:tcPr>
            <w:tcW w:w="12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1、端板生产工艺流程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来料检验----切割----检验----入库。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切割过程为关键工序。</w:t>
            </w:r>
          </w:p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2、扣板生产工艺流程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</w:rPr>
              <w:t>来料检验----下料----冲压----成型----检验----入库。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 冲压、成型过程为关键工序。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冲压成型</w:t>
            </w:r>
            <w:r>
              <w:rPr>
                <w:rFonts w:hint="eastAsia"/>
                <w:b/>
                <w:sz w:val="20"/>
                <w:szCs w:val="22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切割质量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不可接受风险：触电、潜在火灾、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</w:t>
            </w:r>
            <w:r>
              <w:rPr>
                <w:rFonts w:hint="eastAsia"/>
                <w:b/>
                <w:sz w:val="20"/>
                <w:szCs w:val="22"/>
              </w:rPr>
              <w:t>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产品执行标准:GB/T 1804-2000一般公差 未注公差的线性和角度尺寸的公差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pacing w:line="480" w:lineRule="auto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宋体" w:eastAsia="宋体" w:cs="Arial"/>
          <w:b/>
          <w:bCs/>
          <w:sz w:val="21"/>
          <w:szCs w:val="21"/>
        </w:rPr>
        <w:t xml:space="preserve"> </w:t>
      </w:r>
      <w:r>
        <w:rPr>
          <w:rFonts w:hint="eastAsia" w:ascii="宋体" w:hAnsi="宋体" w:eastAsia="宋体" w:cs="Arial"/>
          <w:b/>
          <w:bCs/>
          <w:sz w:val="21"/>
          <w:szCs w:val="21"/>
          <w:lang w:val="en-US" w:eastAsia="zh-CN"/>
        </w:rPr>
        <w:t>姜海军</w:t>
      </w:r>
      <w:r>
        <w:rPr>
          <w:rFonts w:hint="eastAsia" w:ascii="宋体" w:hAnsi="宋体" w:eastAsia="宋体" w:cs="Arial"/>
          <w:b/>
          <w:bCs/>
          <w:sz w:val="21"/>
          <w:szCs w:val="21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cs="Arial"/>
          <w:b/>
          <w:bCs/>
          <w:sz w:val="21"/>
          <w:szCs w:val="21"/>
        </w:rPr>
        <w:t>2020.</w:t>
      </w:r>
      <w:r>
        <w:rPr>
          <w:rFonts w:hint="eastAsia" w:ascii="宋体" w:hAnsi="宋体" w:cs="Arial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cs="Arial"/>
          <w:b/>
          <w:bCs/>
          <w:sz w:val="21"/>
          <w:szCs w:val="21"/>
        </w:rPr>
        <w:t>.</w:t>
      </w:r>
      <w:r>
        <w:rPr>
          <w:rFonts w:hint="eastAsia" w:ascii="宋体" w:hAnsi="宋体" w:cs="Arial"/>
          <w:b/>
          <w:bCs/>
          <w:sz w:val="21"/>
          <w:szCs w:val="21"/>
          <w:lang w:val="en-US" w:eastAsia="zh-CN"/>
        </w:rPr>
        <w:t xml:space="preserve">30   </w:t>
      </w:r>
      <w:r>
        <w:rPr>
          <w:rFonts w:hint="eastAsia" w:ascii="宋体" w:hAnsi="宋体" w:cs="Arial"/>
          <w:sz w:val="21"/>
          <w:szCs w:val="21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hint="eastAsia"/>
          <w:b/>
          <w:sz w:val="20"/>
          <w:lang w:val="en-US" w:eastAsia="zh-CN"/>
        </w:rPr>
        <w:t>李俐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 w:hAnsi="宋体" w:cs="Arial"/>
          <w:b/>
          <w:bCs/>
          <w:sz w:val="21"/>
          <w:szCs w:val="21"/>
        </w:rPr>
        <w:t>2020.</w:t>
      </w:r>
      <w:r>
        <w:rPr>
          <w:rFonts w:hint="eastAsia" w:ascii="宋体" w:hAnsi="宋体" w:cs="Arial"/>
          <w:b/>
          <w:bCs/>
          <w:sz w:val="21"/>
          <w:szCs w:val="21"/>
          <w:lang w:val="en-US" w:eastAsia="zh-CN"/>
        </w:rPr>
        <w:t>3</w:t>
      </w:r>
      <w:r>
        <w:rPr>
          <w:rFonts w:hint="eastAsia" w:ascii="宋体" w:hAnsi="宋体" w:cs="Arial"/>
          <w:b/>
          <w:bCs/>
          <w:sz w:val="21"/>
          <w:szCs w:val="21"/>
        </w:rPr>
        <w:t>.</w:t>
      </w:r>
      <w:r>
        <w:rPr>
          <w:rFonts w:hint="eastAsia" w:ascii="宋体" w:hAnsi="宋体" w:cs="Arial"/>
          <w:b/>
          <w:bCs/>
          <w:sz w:val="21"/>
          <w:szCs w:val="21"/>
          <w:lang w:val="en-US" w:eastAsia="zh-CN"/>
        </w:rPr>
        <w:t xml:space="preserve">30 </w:t>
      </w: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1BE4DBB"/>
    <w:rsid w:val="26BE40F0"/>
    <w:rsid w:val="79C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2020-07-02T22:34:55Z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