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4640" cy="9398635"/>
            <wp:effectExtent l="0" t="0" r="10160" b="12065"/>
            <wp:docPr id="1" name="图片 1" descr="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39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6" w:name="_GoBack"/>
      <w:bookmarkEnd w:id="26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686"/>
        <w:gridCol w:w="700"/>
        <w:gridCol w:w="334"/>
        <w:gridCol w:w="178"/>
        <w:gridCol w:w="1542"/>
        <w:gridCol w:w="463"/>
        <w:gridCol w:w="1257"/>
        <w:gridCol w:w="706"/>
        <w:gridCol w:w="56"/>
        <w:gridCol w:w="423"/>
        <w:gridCol w:w="288"/>
        <w:gridCol w:w="75"/>
        <w:gridCol w:w="172"/>
        <w:gridCol w:w="456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河北永佳技术检测有限公司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石家庄市裕华区方文路2号凤凰城·紫薇苑28B办公楼22层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石家庄市裕华区方文路2号凤凰城·紫薇苑28B办公楼22层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吴振花</w:t>
            </w:r>
            <w:bookmarkEnd w:id="3"/>
          </w:p>
        </w:tc>
        <w:tc>
          <w:tcPr>
            <w:tcW w:w="200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13703118926</w:t>
            </w:r>
            <w:bookmarkEnd w:id="4"/>
          </w:p>
        </w:tc>
        <w:tc>
          <w:tcPr>
            <w:tcW w:w="76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96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hbyj3391@163.com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0980-2021-QEO-2022</w:t>
            </w:r>
            <w:bookmarkEnd w:id="6"/>
          </w:p>
        </w:tc>
        <w:tc>
          <w:tcPr>
            <w:tcW w:w="200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698" w:type="dxa"/>
            <w:gridSpan w:val="9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6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：验证组织管理体系的符合性和持续有效性，以确定是否推荐保持认证注册资格。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923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6" w:name="审核范围"/>
            <w:r>
              <w:rPr>
                <w:b w:val="0"/>
                <w:bCs w:val="0"/>
                <w:sz w:val="21"/>
                <w:szCs w:val="21"/>
              </w:rPr>
              <w:t>Q：金属无损检测、理化检测（危险化学品除外）、钢结构检测（限许可范围内），焊接热处理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E：金属无损检测、理化检测（危险化学品除外）、钢结构检测（限许可范围内），焊接热处理所涉及场所的相关环境管理活动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O：金属无损检测、理化检测（危险化学品除外）、钢结构检测（限许可范围内），焊接热处理所涉及场所的相关职业健康安全管理活动</w:t>
            </w:r>
            <w:bookmarkEnd w:id="16"/>
          </w:p>
        </w:tc>
        <w:tc>
          <w:tcPr>
            <w:tcW w:w="36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17" w:name="专业代码"/>
            <w:r>
              <w:rPr>
                <w:b w:val="0"/>
                <w:bCs w:val="0"/>
                <w:sz w:val="21"/>
                <w:szCs w:val="21"/>
              </w:rPr>
              <w:t>Q：17.10.01;34.02.00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E：17.10.01;34.02.00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O：17.10.01;34.02.00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19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20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21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  <w:bookmarkStart w:id="22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2022年10月21日 上午至2022年10月23日 下午</w:t>
            </w:r>
            <w:bookmarkEnd w:id="23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4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3.0</w:t>
            </w:r>
            <w:bookmarkEnd w:id="24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1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Q:17.10.01,34.02.00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E:17.10.01,34.02.00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O:17.10.01,34.02.00</w:t>
            </w:r>
          </w:p>
        </w:tc>
        <w:tc>
          <w:tcPr>
            <w:tcW w:w="141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5" w:name="审核派遣人"/>
            <w:r>
              <w:rPr>
                <w:b w:val="0"/>
                <w:bCs w:val="0"/>
                <w:sz w:val="21"/>
                <w:szCs w:val="21"/>
              </w:rPr>
              <w:t>李凤娟</w:t>
            </w:r>
            <w:bookmarkEnd w:id="25"/>
          </w:p>
        </w:tc>
        <w:tc>
          <w:tcPr>
            <w:tcW w:w="1720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2022.10.20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2022.10.20</w:t>
            </w:r>
          </w:p>
        </w:tc>
        <w:tc>
          <w:tcPr>
            <w:tcW w:w="1720" w:type="dxa"/>
            <w:gridSpan w:val="6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2022.10.20</w:t>
            </w:r>
          </w:p>
        </w:tc>
      </w:tr>
    </w:tbl>
    <w:p/>
    <w:p/>
    <w:p/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2.10.21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暂停恢复情况；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范围的确认、资质的确认、法律法规执行情况、上级部门抽查及相关方投诉情况、上次不符合验证；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/9.1/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质安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/8.6/8.7/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2022.10.22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工程部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：组织的岗位、职责权限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目标、方案；环境因素/危险源识别评价；基础设施；监视和测量资源；运行环境；运行的策划和控制；产品和服务的设计和开发；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标识和可追溯性；产品防护；顾客或外部供方财产；交付后活动；变更的控制；运行控制；应急准备和响应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6.2/7.1.3/7.1.4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/8.1/8.3/8.5；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6.2/6.1.2/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8.1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多场所：裕华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热电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，距离总部20分钟车程，8：00去，12：00返回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2022.10.23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综合部（含财务）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应急准备和响应；绩效的监视和测量；合规性评价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6.2//8.2/8.4/9.1.2/9.1.3/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  <w:docVar w:name="KSO_WPS_MARK_KEY" w:val="a2ca9aac-65a1-4dfd-93bd-797a3cf2a34a"/>
  </w:docVars>
  <w:rsids>
    <w:rsidRoot w:val="00000000"/>
    <w:rsid w:val="07A037DC"/>
    <w:rsid w:val="0CFD51A3"/>
    <w:rsid w:val="6FDC49A4"/>
    <w:rsid w:val="7FE84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30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2022-10-21T02:42:17Z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