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太重榆液长治液压有限公司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0017-2019-2022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0017-2019-2022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3049"/>
        <w:gridCol w:w="1677"/>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太重榆液长治液压有限公司</w:t>
            </w:r>
            <w:bookmarkEnd w:id="4"/>
          </w:p>
        </w:tc>
        <w:tc>
          <w:tcPr>
            <w:tcW w:w="167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73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闫峰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ISC-2019-0516</w:t>
            </w:r>
            <w:bookmarkEnd w:id="6"/>
          </w:p>
        </w:tc>
        <w:tc>
          <w:tcPr>
            <w:tcW w:w="167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73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2024-10-24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4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67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73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bookmarkStart w:id="11" w:name="_GoBack"/>
            <w:r>
              <w:rPr>
                <w:rFonts w:cs="宋体" w:asciiTheme="minorEastAsia" w:hAnsiTheme="minorEastAsia"/>
                <w:kern w:val="0"/>
                <w:szCs w:val="21"/>
              </w:rPr>
              <w:t xml:space="preserve">2022年10月18日 </w:t>
            </w:r>
            <w:bookmarkEnd w:id="9"/>
            <w:r>
              <w:rPr>
                <w:rFonts w:hint="eastAsia" w:cs="宋体" w:asciiTheme="minorEastAsia" w:hAnsiTheme="minorEastAsia"/>
                <w:kern w:val="0"/>
                <w:szCs w:val="21"/>
                <w:lang w:val="en-US" w:eastAsia="zh-CN"/>
              </w:rPr>
              <w:t>-19上午</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55"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49" w:type="dxa"/>
          </w:tcPr>
          <w:p>
            <w:pPr>
              <w:tabs>
                <w:tab w:val="left" w:pos="880"/>
              </w:tabs>
              <w:autoSpaceDE w:val="0"/>
              <w:autoSpaceDN w:val="0"/>
              <w:adjustRightInd w:val="0"/>
              <w:spacing w:before="35" w:line="276" w:lineRule="auto"/>
              <w:ind w:right="161"/>
              <w:rPr>
                <w:rFonts w:ascii="宋体" w:hAnsi="宋体" w:eastAsia="宋体" w:cs="Times New Roman"/>
                <w:szCs w:val="21"/>
              </w:rPr>
            </w:pPr>
            <w:r>
              <w:rPr>
                <w:rFonts w:ascii="宋体" w:hAnsi="宋体" w:eastAsia="宋体" w:cs="Times New Roman"/>
                <w:szCs w:val="21"/>
              </w:rPr>
              <w:t>李学弘</w:t>
            </w:r>
            <w:r>
              <w:rPr>
                <w:rFonts w:hint="eastAsia" w:ascii="宋体" w:hAnsi="宋体" w:eastAsia="宋体" w:cs="Times New Roman"/>
                <w:szCs w:val="21"/>
                <w:lang w:val="en-US" w:eastAsia="zh-CN"/>
              </w:rPr>
              <w:t xml:space="preserve"> </w:t>
            </w:r>
            <w:r>
              <w:rPr>
                <w:rFonts w:ascii="宋体" w:hAnsi="宋体" w:eastAsia="宋体" w:cs="Times New Roman"/>
                <w:szCs w:val="21"/>
              </w:rPr>
              <w:t>2022-M1MMS-2274211</w:t>
            </w:r>
          </w:p>
          <w:p>
            <w:pPr>
              <w:tabs>
                <w:tab w:val="left" w:pos="880"/>
              </w:tabs>
              <w:autoSpaceDE w:val="0"/>
              <w:autoSpaceDN w:val="0"/>
              <w:adjustRightInd w:val="0"/>
              <w:spacing w:before="35" w:line="276" w:lineRule="auto"/>
              <w:ind w:right="161"/>
              <w:rPr>
                <w:rFonts w:ascii="宋体" w:hAnsi="宋体" w:eastAsia="宋体" w:cs="Times New Roman"/>
                <w:szCs w:val="21"/>
              </w:rPr>
            </w:pPr>
            <w:r>
              <w:rPr>
                <w:rFonts w:ascii="宋体" w:hAnsi="宋体" w:eastAsia="宋体" w:cs="Times New Roman"/>
                <w:szCs w:val="21"/>
              </w:rPr>
              <w:t>李俐</w:t>
            </w:r>
            <w:r>
              <w:rPr>
                <w:rFonts w:hint="eastAsia" w:ascii="宋体" w:hAnsi="宋体" w:eastAsia="宋体" w:cs="Times New Roman"/>
                <w:szCs w:val="21"/>
                <w:lang w:val="en-US" w:eastAsia="zh-CN"/>
              </w:rPr>
              <w:t xml:space="preserve">  </w:t>
            </w:r>
            <w:r>
              <w:rPr>
                <w:rFonts w:ascii="宋体" w:hAnsi="宋体" w:eastAsia="宋体" w:cs="Times New Roman"/>
                <w:szCs w:val="21"/>
              </w:rPr>
              <w:t>2021-M1MMS-2222792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67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739" w:type="dxa"/>
          </w:tcPr>
          <w:p>
            <w:pPr>
              <w:jc w:val="left"/>
              <w:rPr>
                <w:rFonts w:cs="宋体" w:asciiTheme="minorEastAsia" w:hAnsiTheme="minorEastAsia"/>
                <w:kern w:val="0"/>
                <w:szCs w:val="21"/>
              </w:rPr>
            </w:pPr>
            <w:r>
              <w:rPr>
                <w:rFonts w:hint="eastAsia" w:ascii="宋体" w:hAnsi="宋体"/>
                <w:szCs w:val="21"/>
              </w:rPr>
              <w:t>质量管理部</w:t>
            </w:r>
            <w:r>
              <w:rPr>
                <w:rFonts w:hint="eastAsia" w:ascii="宋体" w:hAnsi="宋体"/>
                <w:szCs w:val="21"/>
                <w:lang w:eastAsia="zh-CN"/>
              </w:rPr>
              <w:t>、</w:t>
            </w:r>
            <w:r>
              <w:rPr>
                <w:rFonts w:hint="eastAsia" w:ascii="宋体" w:hAnsi="宋体"/>
                <w:szCs w:val="21"/>
              </w:rPr>
              <w:t>综合管理部</w:t>
            </w:r>
            <w:r>
              <w:rPr>
                <w:rFonts w:hint="eastAsia" w:ascii="宋体" w:hAnsi="宋体"/>
                <w:szCs w:val="21"/>
                <w:lang w:eastAsia="zh-CN"/>
              </w:rPr>
              <w:t>、</w:t>
            </w:r>
            <w:r>
              <w:rPr>
                <w:rFonts w:hint="eastAsia" w:eastAsia="新宋体"/>
                <w:szCs w:val="21"/>
              </w:rPr>
              <w:t>生产管理部</w:t>
            </w:r>
            <w:r>
              <w:rPr>
                <w:rFonts w:hint="eastAsia" w:eastAsia="新宋体"/>
                <w:szCs w:val="21"/>
                <w:lang w:eastAsia="zh-CN"/>
              </w:rPr>
              <w:t>、</w:t>
            </w:r>
            <w:r>
              <w:rPr>
                <w:rFonts w:hint="eastAsia" w:ascii="宋体" w:hAnsi="宋体"/>
                <w:szCs w:val="21"/>
              </w:rPr>
              <w:t>安环办</w:t>
            </w:r>
            <w:r>
              <w:rPr>
                <w:rFonts w:hint="eastAsia" w:ascii="宋体" w:hAnsi="宋体"/>
                <w:szCs w:val="21"/>
                <w:lang w:eastAsia="zh-CN"/>
              </w:rPr>
              <w:t>、</w:t>
            </w:r>
            <w:r>
              <w:rPr>
                <w:rFonts w:hint="eastAsia" w:eastAsia="新宋体"/>
                <w:szCs w:val="21"/>
              </w:rPr>
              <w:t>技术中心</w:t>
            </w:r>
            <w:r>
              <w:rPr>
                <w:rFonts w:hint="eastAsia" w:eastAsia="新宋体"/>
                <w:szCs w:val="21"/>
                <w:lang w:eastAsia="zh-CN"/>
              </w:rPr>
              <w:t>、</w:t>
            </w:r>
            <w:r>
              <w:rPr>
                <w:rFonts w:hint="eastAsia" w:eastAsia="新宋体"/>
                <w:szCs w:val="21"/>
              </w:rPr>
              <w:t>经销管理部</w:t>
            </w:r>
            <w:r>
              <w:rPr>
                <w:rFonts w:hint="eastAsia" w:eastAsia="新宋体"/>
                <w:szCs w:val="21"/>
                <w:lang w:eastAsia="zh-CN"/>
              </w:rPr>
              <w:t>、</w:t>
            </w:r>
            <w:r>
              <w:rPr>
                <w:rFonts w:hint="eastAsia" w:ascii="宋体" w:hAnsi="宋体"/>
                <w:szCs w:val="21"/>
              </w:rPr>
              <w:t>制造一部</w:t>
            </w:r>
            <w:r>
              <w:rPr>
                <w:rFonts w:hint="eastAsia" w:ascii="宋体" w:hAnsi="宋体"/>
                <w:szCs w:val="21"/>
                <w:lang w:eastAsia="zh-CN"/>
              </w:rPr>
              <w:t>、</w:t>
            </w:r>
            <w:r>
              <w:rPr>
                <w:rFonts w:hint="eastAsia" w:eastAsia="新宋体"/>
                <w:szCs w:val="21"/>
              </w:rPr>
              <w:t>制造二部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color w:val="000000" w:themeColor="text1"/>
          <w:szCs w:val="21"/>
        </w:rPr>
      </w:pPr>
      <w:r>
        <w:rPr>
          <w:rFonts w:hint="eastAsia"/>
          <w:color w:val="000000" w:themeColor="text1"/>
          <w:szCs w:val="21"/>
        </w:rPr>
        <w:t>1.</w:t>
      </w:r>
      <w:r>
        <w:rPr>
          <w:color w:val="000000" w:themeColor="text1"/>
          <w:szCs w:val="21"/>
        </w:rPr>
        <w:t>一年内违反法律法规</w:t>
      </w:r>
      <w:r>
        <w:rPr>
          <w:rFonts w:hint="eastAsia"/>
          <w:color w:val="000000" w:themeColor="text1"/>
          <w:szCs w:val="21"/>
        </w:rPr>
        <w:t>或</w:t>
      </w:r>
      <w:r>
        <w:rPr>
          <w:color w:val="000000" w:themeColor="text1"/>
          <w:szCs w:val="21"/>
        </w:rPr>
        <w:t>重大事故的情况：</w:t>
      </w:r>
    </w:p>
    <w:p>
      <w:pPr>
        <w:spacing w:line="360" w:lineRule="auto"/>
        <w:ind w:firstLine="420" w:firstLineChars="200"/>
        <w:rPr>
          <w:rFonts w:hint="eastAsia"/>
          <w:color w:val="000000" w:themeColor="text1"/>
          <w:szCs w:val="21"/>
          <w:lang w:eastAsia="zh-CN"/>
        </w:rPr>
      </w:pPr>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11</w:t>
      </w:r>
      <w:r>
        <w:rPr>
          <w:rFonts w:hint="eastAsia"/>
          <w:color w:val="000000" w:themeColor="text1"/>
          <w:szCs w:val="21"/>
        </w:rPr>
        <w:t>月至今，公司日常运行中生产经营平稳，企业未有违反法律、法规问题和产品质量问题的投诉或重大质量事故发生。企业营业执照等资质未发生变化</w:t>
      </w:r>
      <w:r>
        <w:rPr>
          <w:rFonts w:hint="eastAsia"/>
          <w:color w:val="000000" w:themeColor="text1"/>
          <w:szCs w:val="21"/>
          <w:lang w:eastAsia="zh-CN"/>
        </w:rPr>
        <w:t>。</w:t>
      </w:r>
    </w:p>
    <w:p>
      <w:pPr>
        <w:spacing w:line="360" w:lineRule="auto"/>
        <w:rPr>
          <w:color w:val="000000" w:themeColor="text1"/>
          <w:szCs w:val="21"/>
        </w:rPr>
      </w:pPr>
      <w:r>
        <w:rPr>
          <w:rFonts w:hint="eastAsia"/>
          <w:color w:val="000000" w:themeColor="text1"/>
          <w:szCs w:val="21"/>
        </w:rPr>
        <w:t>2.内部审核和管理评审</w:t>
      </w:r>
      <w:r>
        <w:rPr>
          <w:color w:val="000000" w:themeColor="text1"/>
          <w:szCs w:val="21"/>
        </w:rPr>
        <w:t>的情况：</w:t>
      </w:r>
    </w:p>
    <w:p>
      <w:pPr>
        <w:spacing w:line="360" w:lineRule="auto"/>
        <w:rPr>
          <w:rFonts w:hint="eastAsia" w:ascii="宋体" w:hAnsi="宋体"/>
          <w:bCs/>
          <w:color w:val="000000" w:themeColor="text1"/>
          <w:szCs w:val="21"/>
        </w:rPr>
      </w:pPr>
      <w:r>
        <w:rPr>
          <w:rStyle w:val="10"/>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6</w:t>
      </w:r>
      <w:r>
        <w:rPr>
          <w:rFonts w:hint="eastAsia" w:ascii="宋体" w:hAnsi="宋体"/>
          <w:bCs/>
          <w:color w:val="000000" w:themeColor="text1"/>
          <w:szCs w:val="21"/>
        </w:rPr>
        <w:t>月</w:t>
      </w:r>
      <w:r>
        <w:rPr>
          <w:rFonts w:hint="eastAsia" w:ascii="宋体" w:hAnsi="宋体"/>
          <w:bCs/>
          <w:color w:val="000000" w:themeColor="text1"/>
          <w:szCs w:val="21"/>
          <w:lang w:val="en-US" w:eastAsia="zh-CN"/>
        </w:rPr>
        <w:t>14</w:t>
      </w:r>
      <w:r>
        <w:rPr>
          <w:rFonts w:hint="eastAsia" w:ascii="宋体" w:hAnsi="宋体"/>
          <w:bCs/>
          <w:color w:val="000000" w:themeColor="text1"/>
          <w:szCs w:val="21"/>
        </w:rPr>
        <w:t>-</w:t>
      </w:r>
      <w:r>
        <w:rPr>
          <w:rFonts w:hint="eastAsia" w:ascii="宋体" w:hAnsi="宋体"/>
          <w:bCs/>
          <w:color w:val="000000" w:themeColor="text1"/>
          <w:szCs w:val="21"/>
          <w:lang w:val="en-US" w:eastAsia="zh-CN"/>
        </w:rPr>
        <w:t>15</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10"/>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4</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11</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1个一般</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6</w:t>
      </w:r>
      <w:r>
        <w:rPr>
          <w:rFonts w:hint="eastAsia" w:ascii="宋体" w:hAnsi="宋体"/>
          <w:bCs/>
          <w:color w:val="000000" w:themeColor="text1"/>
          <w:szCs w:val="21"/>
        </w:rPr>
        <w:t>月</w:t>
      </w:r>
      <w:r>
        <w:rPr>
          <w:rFonts w:hint="eastAsia" w:ascii="宋体" w:hAnsi="宋体"/>
          <w:bCs/>
          <w:color w:val="000000" w:themeColor="text1"/>
          <w:szCs w:val="21"/>
          <w:lang w:val="en-US" w:eastAsia="zh-CN"/>
        </w:rPr>
        <w:t>25</w:t>
      </w:r>
      <w:r>
        <w:rPr>
          <w:rFonts w:hint="eastAsia" w:ascii="宋体" w:hAnsi="宋体"/>
          <w:bCs/>
          <w:color w:val="000000" w:themeColor="text1"/>
          <w:szCs w:val="21"/>
        </w:rPr>
        <w:t>日完成整改。</w:t>
      </w:r>
    </w:p>
    <w:p>
      <w:pPr>
        <w:spacing w:line="360" w:lineRule="auto"/>
        <w:rPr>
          <w:rStyle w:val="10"/>
          <w:rFonts w:ascii="宋体" w:eastAsia="宋体"/>
          <w:color w:val="auto"/>
          <w:sz w:val="21"/>
          <w:szCs w:val="21"/>
        </w:rPr>
      </w:pPr>
      <w:r>
        <w:rPr>
          <w:rStyle w:val="10"/>
          <w:rFonts w:hint="eastAsia" w:ascii="宋体" w:eastAsia="宋体"/>
          <w:color w:val="000000" w:themeColor="text1"/>
          <w:sz w:val="21"/>
          <w:szCs w:val="21"/>
        </w:rPr>
        <w:t>2.2管理评审情况：企</w:t>
      </w:r>
      <w:r>
        <w:rPr>
          <w:rFonts w:hint="eastAsia"/>
          <w:bCs/>
          <w:color w:val="000000" w:themeColor="text1"/>
          <w:szCs w:val="21"/>
        </w:rPr>
        <w:t>业于</w:t>
      </w:r>
      <w:r>
        <w:rPr>
          <w:rFonts w:hint="eastAsia"/>
          <w:bCs/>
          <w:color w:val="000000" w:themeColor="text1"/>
          <w:szCs w:val="21"/>
          <w:lang w:val="en-US" w:eastAsia="zh-CN"/>
        </w:rPr>
        <w:t>2022</w:t>
      </w:r>
      <w:r>
        <w:rPr>
          <w:rFonts w:hint="eastAsia"/>
          <w:bCs/>
          <w:color w:val="000000" w:themeColor="text1"/>
          <w:szCs w:val="21"/>
        </w:rPr>
        <w:t>年</w:t>
      </w:r>
      <w:r>
        <w:rPr>
          <w:rFonts w:hint="eastAsia"/>
          <w:bCs/>
          <w:color w:val="000000" w:themeColor="text1"/>
          <w:szCs w:val="21"/>
          <w:lang w:val="en-US" w:eastAsia="zh-CN"/>
        </w:rPr>
        <w:t>7</w:t>
      </w:r>
      <w:r>
        <w:rPr>
          <w:rFonts w:hint="eastAsia"/>
          <w:bCs/>
          <w:color w:val="000000" w:themeColor="text1"/>
          <w:szCs w:val="21"/>
        </w:rPr>
        <w:t>月</w:t>
      </w:r>
      <w:r>
        <w:rPr>
          <w:rFonts w:hint="eastAsia"/>
          <w:bCs/>
          <w:color w:val="000000" w:themeColor="text1"/>
          <w:szCs w:val="21"/>
          <w:lang w:val="en-US" w:eastAsia="zh-CN"/>
        </w:rPr>
        <w:t>27</w:t>
      </w:r>
      <w:r>
        <w:rPr>
          <w:rFonts w:hint="eastAsia"/>
          <w:bCs/>
          <w:color w:val="000000" w:themeColor="text1"/>
          <w:szCs w:val="21"/>
        </w:rPr>
        <w:t>日开展了</w:t>
      </w:r>
      <w:r>
        <w:rPr>
          <w:rFonts w:hint="eastAsia"/>
          <w:bCs/>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孙伟</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李军江</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w:t>
      </w:r>
      <w:r>
        <w:rPr>
          <w:rFonts w:hint="eastAsia"/>
          <w:color w:val="auto"/>
          <w:szCs w:val="21"/>
        </w:rPr>
        <w:t>题落实了整改部门。</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增关键测量过程：</w:t>
      </w:r>
    </w:p>
    <w:p>
      <w:pPr>
        <w:widowControl/>
        <w:spacing w:line="360" w:lineRule="auto"/>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a)计量要求的导出和验证：查机油泵泵体孔径</w:t>
      </w:r>
      <w:r>
        <w:rPr>
          <w:rFonts w:hint="eastAsia"/>
          <w:color w:val="auto"/>
        </w:rPr>
        <w:t>测量过程，计量要求导出方法正确，验证满足测量过程要求。祥见附件《计量要求导出及验证记录表》</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eastAsia="宋体"/>
          <w:color w:val="auto"/>
          <w:lang w:eastAsia="zh-CN"/>
        </w:rPr>
        <w:t>机油泵泵体孔径</w:t>
      </w:r>
      <w:r>
        <w:rPr>
          <w:rFonts w:hint="eastAsia"/>
          <w:color w:val="auto"/>
        </w:rPr>
        <w:t>测量过程，测量不确定度评定正确。祥见附件《测量不确定度评定》</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eastAsia="宋体"/>
          <w:color w:val="auto"/>
          <w:lang w:eastAsia="zh-CN"/>
        </w:rPr>
        <w:t>机油泵泵体孔径</w:t>
      </w:r>
      <w:r>
        <w:rPr>
          <w:rFonts w:hint="eastAsia"/>
          <w:color w:val="auto"/>
        </w:rPr>
        <w:t>测量过程，采用计量比对</w:t>
      </w:r>
      <w:r>
        <w:rPr>
          <w:rFonts w:hint="eastAsia"/>
          <w:color w:val="auto"/>
          <w:lang w:val="en-US" w:eastAsia="zh-CN"/>
        </w:rPr>
        <w:t>法</w:t>
      </w:r>
      <w:r>
        <w:rPr>
          <w:rFonts w:hint="eastAsia"/>
          <w:color w:val="auto"/>
        </w:rPr>
        <w:t>进行有效性确认，满足要求。祥见附件《测量过程有效性确认》</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eastAsia="宋体"/>
          <w:color w:val="auto"/>
          <w:lang w:eastAsia="zh-CN"/>
        </w:rPr>
        <w:t>机油泵泵体孔径</w:t>
      </w:r>
      <w:r>
        <w:rPr>
          <w:rFonts w:hint="eastAsia"/>
          <w:color w:val="auto"/>
        </w:rPr>
        <w:t>测量过程，编制了控制规范，对测量人员、测量设备、测量环境进行控制，满足要求。</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eastAsia="宋体"/>
          <w:color w:val="auto"/>
          <w:lang w:eastAsia="zh-CN"/>
        </w:rPr>
        <w:t>机油泵泵体孔径</w:t>
      </w:r>
      <w:r>
        <w:rPr>
          <w:rFonts w:hint="eastAsia"/>
          <w:color w:val="auto"/>
        </w:rPr>
        <w:t>测量过程，</w:t>
      </w:r>
      <w:r>
        <w:rPr>
          <w:rFonts w:hint="eastAsia" w:cs="宋体" w:asciiTheme="minorEastAsia" w:hAnsiTheme="minorEastAsia"/>
          <w:color w:val="auto"/>
          <w:kern w:val="0"/>
          <w:szCs w:val="21"/>
        </w:rPr>
        <w:t>采用统计技术进行控制和监视测量过程。祥见《测量过程监视记录》</w:t>
      </w:r>
    </w:p>
    <w:p>
      <w:pPr>
        <w:spacing w:line="360" w:lineRule="auto"/>
        <w:ind w:firstLine="420" w:firstLineChars="200"/>
        <w:rPr>
          <w:color w:val="auto"/>
          <w:szCs w:val="21"/>
        </w:rPr>
      </w:pPr>
      <w:r>
        <w:rPr>
          <w:rFonts w:hint="eastAsia" w:cs="宋体" w:asciiTheme="minorEastAsia" w:hAnsiTheme="minorEastAsia"/>
          <w:color w:val="auto"/>
          <w:kern w:val="0"/>
          <w:szCs w:val="21"/>
        </w:rPr>
        <w:t>f)测量设备的溯源：</w:t>
      </w:r>
      <w:r>
        <w:rPr>
          <w:rFonts w:hint="eastAsia" w:ascii="宋体" w:hAnsi="宋体"/>
          <w:color w:val="auto"/>
          <w:szCs w:val="21"/>
        </w:rPr>
        <w:t>企业</w:t>
      </w:r>
      <w:r>
        <w:rPr>
          <w:rFonts w:hint="eastAsia" w:ascii="宋体" w:hAnsi="宋体"/>
          <w:color w:val="auto"/>
          <w:szCs w:val="21"/>
          <w:lang w:val="en-US" w:eastAsia="zh-CN"/>
        </w:rPr>
        <w:t>已</w:t>
      </w:r>
      <w:r>
        <w:rPr>
          <w:rFonts w:hint="eastAsia" w:ascii="宋体" w:hAnsi="宋体"/>
          <w:color w:val="auto"/>
          <w:szCs w:val="21"/>
        </w:rPr>
        <w:t>建立</w:t>
      </w:r>
      <w:r>
        <w:rPr>
          <w:rFonts w:hint="eastAsia" w:ascii="宋体" w:hAnsi="宋体"/>
          <w:color w:val="auto"/>
          <w:szCs w:val="21"/>
          <w:lang w:val="en-US" w:eastAsia="zh-CN"/>
        </w:rPr>
        <w:t>了指示量具检定装置，卡尺量具检定装置，精密压力表标准装置，测微量具检定装置等四套计量</w:t>
      </w:r>
      <w:r>
        <w:rPr>
          <w:rFonts w:hint="eastAsia" w:ascii="宋体" w:hAnsi="宋体"/>
          <w:color w:val="auto"/>
          <w:szCs w:val="21"/>
        </w:rPr>
        <w:t>标准器，</w:t>
      </w:r>
      <w:r>
        <w:rPr>
          <w:rFonts w:hint="eastAsia" w:ascii="宋体" w:hAnsi="宋体"/>
          <w:color w:val="auto"/>
          <w:szCs w:val="21"/>
          <w:lang w:val="en-US" w:eastAsia="zh-CN"/>
        </w:rPr>
        <w:t>已通过</w:t>
      </w:r>
      <w:r>
        <w:rPr>
          <w:rFonts w:hint="eastAsia"/>
          <w:color w:val="auto"/>
          <w:szCs w:val="21"/>
          <w:lang w:val="en-US" w:eastAsia="zh-CN"/>
        </w:rPr>
        <w:t>山西省长治市质量技术监督局JJF1033的考核，公司测量设备除自检外全部委托</w:t>
      </w:r>
      <w:r>
        <w:rPr>
          <w:rFonts w:hint="eastAsia" w:ascii="宋体" w:hAnsi="宋体"/>
          <w:color w:val="auto"/>
          <w:szCs w:val="21"/>
        </w:rPr>
        <w:t>均送</w:t>
      </w:r>
      <w:r>
        <w:rPr>
          <w:rFonts w:hint="eastAsia" w:ascii="宋体" w:hAnsi="宋体"/>
          <w:color w:val="auto"/>
          <w:szCs w:val="21"/>
          <w:lang w:val="en-US" w:eastAsia="zh-CN"/>
        </w:rPr>
        <w:t>至</w:t>
      </w:r>
      <w:r>
        <w:rPr>
          <w:rFonts w:hint="eastAsia"/>
          <w:color w:val="auto"/>
          <w:szCs w:val="21"/>
          <w:lang w:val="en-US" w:eastAsia="zh-CN"/>
        </w:rPr>
        <w:t>山西省检验检测中心</w:t>
      </w:r>
      <w:r>
        <w:rPr>
          <w:rFonts w:hint="eastAsia"/>
          <w:color w:val="auto"/>
          <w:szCs w:val="21"/>
        </w:rPr>
        <w:t>检定/校准，</w:t>
      </w:r>
      <w:r>
        <w:rPr>
          <w:rFonts w:hint="eastAsia" w:ascii="宋体" w:hAnsi="宋体"/>
          <w:color w:val="auto"/>
          <w:szCs w:val="21"/>
        </w:rPr>
        <w:t>抽查</w:t>
      </w:r>
      <w:r>
        <w:rPr>
          <w:rFonts w:hint="eastAsia" w:ascii="宋体" w:hAnsi="宋体"/>
          <w:color w:val="auto"/>
          <w:szCs w:val="21"/>
          <w:lang w:val="en-US" w:eastAsia="zh-CN"/>
        </w:rPr>
        <w:t>8</w:t>
      </w:r>
      <w:r>
        <w:rPr>
          <w:rFonts w:hint="eastAsia" w:ascii="宋体" w:hAnsi="宋体"/>
          <w:color w:val="auto"/>
          <w:szCs w:val="21"/>
        </w:rPr>
        <w:t>份测量设备，量值溯源</w:t>
      </w:r>
      <w:r>
        <w:rPr>
          <w:rFonts w:hint="eastAsia"/>
          <w:color w:val="auto"/>
          <w:szCs w:val="21"/>
        </w:rPr>
        <w:t>满足要求</w:t>
      </w:r>
      <w:r>
        <w:rPr>
          <w:rFonts w:hint="eastAsia"/>
          <w:color w:val="auto"/>
          <w:szCs w:val="21"/>
          <w:lang w:eastAsia="zh-CN"/>
        </w:rPr>
        <w:t>，</w:t>
      </w:r>
      <w:r>
        <w:rPr>
          <w:rFonts w:hint="eastAsia"/>
          <w:color w:val="auto"/>
          <w:szCs w:val="21"/>
        </w:rPr>
        <w:t>祥见《测量设备溯源检查表》</w:t>
      </w:r>
    </w:p>
    <w:p>
      <w:pPr>
        <w:widowControl/>
        <w:spacing w:line="276" w:lineRule="auto"/>
        <w:rPr>
          <w:color w:val="auto"/>
          <w:szCs w:val="21"/>
        </w:rPr>
      </w:pPr>
      <w:r>
        <w:rPr>
          <w:rFonts w:hint="eastAsia"/>
          <w:color w:val="auto"/>
          <w:szCs w:val="21"/>
        </w:rPr>
        <w:t>4.能源管理情况：</w:t>
      </w:r>
    </w:p>
    <w:p>
      <w:pPr>
        <w:widowControl/>
        <w:spacing w:line="360" w:lineRule="auto"/>
        <w:ind w:firstLine="420" w:firstLineChars="200"/>
        <w:jc w:val="both"/>
        <w:rPr>
          <w:rFonts w:hint="eastAsia" w:ascii="宋体" w:hAnsi="宋体" w:eastAsia="宋体"/>
          <w:bCs/>
          <w:color w:val="auto"/>
          <w:szCs w:val="21"/>
        </w:rPr>
      </w:pPr>
      <w:r>
        <w:rPr>
          <w:rFonts w:hint="eastAsia" w:ascii="宋体" w:hAnsi="宋体" w:eastAsia="宋体"/>
          <w:bCs/>
          <w:color w:val="auto"/>
          <w:szCs w:val="21"/>
        </w:rPr>
        <w:t>企业20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w:t>
      </w:r>
      <w:r>
        <w:rPr>
          <w:rFonts w:hint="eastAsia" w:ascii="宋体" w:hAnsi="宋体" w:eastAsia="宋体"/>
          <w:bCs/>
          <w:color w:val="auto"/>
          <w:szCs w:val="21"/>
          <w:lang w:val="en-US" w:eastAsia="zh-CN"/>
        </w:rPr>
        <w:t>能640吨标</w:t>
      </w:r>
      <w:r>
        <w:rPr>
          <w:rFonts w:hint="eastAsia" w:ascii="宋体" w:hAnsi="宋体" w:eastAsia="宋体"/>
          <w:bCs/>
          <w:color w:val="auto"/>
          <w:szCs w:val="21"/>
        </w:rPr>
        <w:t>准煤。</w:t>
      </w:r>
      <w:r>
        <w:rPr>
          <w:rFonts w:hint="eastAsia" w:ascii="宋体" w:hAnsi="宋体" w:eastAsia="宋体"/>
          <w:bCs/>
          <w:color w:val="auto"/>
          <w:szCs w:val="21"/>
          <w:lang w:val="en-US" w:eastAsia="zh-CN"/>
        </w:rPr>
        <w:t>不是重点</w:t>
      </w:r>
      <w:r>
        <w:rPr>
          <w:rFonts w:hint="eastAsia" w:ascii="宋体" w:hAnsi="宋体" w:eastAsia="宋体"/>
          <w:bCs/>
          <w:color w:val="auto"/>
          <w:szCs w:val="21"/>
        </w:rPr>
        <w:t>耗能单位，企业建立了能源管理网络图和能源测量设备明细表，能源测量设备配备率满足要求。进出用能单位，应配</w:t>
      </w:r>
      <w:r>
        <w:rPr>
          <w:rFonts w:hint="eastAsia" w:ascii="宋体" w:hAnsi="宋体" w:eastAsia="宋体"/>
          <w:bCs/>
          <w:color w:val="auto"/>
          <w:szCs w:val="21"/>
          <w:lang w:val="en-US" w:eastAsia="zh-CN"/>
        </w:rPr>
        <w:t>3</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3</w:t>
      </w:r>
      <w:r>
        <w:rPr>
          <w:rFonts w:hint="eastAsia" w:ascii="宋体" w:hAnsi="宋体" w:eastAsia="宋体"/>
          <w:bCs/>
          <w:color w:val="auto"/>
          <w:szCs w:val="21"/>
        </w:rPr>
        <w:t>台（件）；进出主要次级用能单位，应配 ：</w:t>
      </w:r>
      <w:r>
        <w:rPr>
          <w:rFonts w:hint="eastAsia" w:ascii="宋体" w:hAnsi="宋体" w:eastAsia="宋体"/>
          <w:bCs/>
          <w:color w:val="auto"/>
          <w:szCs w:val="21"/>
          <w:lang w:val="en-US" w:eastAsia="zh-CN"/>
        </w:rPr>
        <w:t>4</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4</w:t>
      </w:r>
      <w:r>
        <w:rPr>
          <w:rFonts w:hint="eastAsia" w:ascii="宋体" w:hAnsi="宋体" w:eastAsia="宋体"/>
          <w:bCs/>
          <w:color w:val="auto"/>
          <w:szCs w:val="21"/>
        </w:rPr>
        <w:t>台（件）；进；抽查测量设备配备率满足要求，能源计量管理满足GB17167要求。</w:t>
      </w:r>
    </w:p>
    <w:p>
      <w:pPr>
        <w:widowControl/>
        <w:spacing w:line="360" w:lineRule="auto"/>
        <w:jc w:val="both"/>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420" w:firstLineChars="200"/>
        <w:jc w:val="both"/>
        <w:rPr>
          <w:rFonts w:hint="default" w:ascii="宋体" w:hAnsi="宋体" w:eastAsia="宋体"/>
          <w:bCs/>
          <w:color w:val="auto"/>
          <w:szCs w:val="21"/>
          <w:lang w:val="en-US" w:eastAsia="zh-CN"/>
        </w:rPr>
      </w:pPr>
      <w:r>
        <w:rPr>
          <w:rFonts w:hint="eastAsia" w:ascii="宋体" w:hAnsi="宋体" w:eastAsia="宋体"/>
          <w:bCs/>
          <w:color w:val="auto"/>
          <w:szCs w:val="21"/>
          <w:lang w:val="en-US" w:eastAsia="zh-CN"/>
        </w:rPr>
        <w:t>查2021年外审未开出不符合项项，公司内审的不符合已整改关闭。</w:t>
      </w:r>
    </w:p>
    <w:p>
      <w:pPr>
        <w:widowControl/>
        <w:numPr>
          <w:ilvl w:val="0"/>
          <w:numId w:val="1"/>
        </w:numPr>
        <w:spacing w:line="360" w:lineRule="auto"/>
        <w:jc w:val="both"/>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年有未有顾客的投诉。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360" w:lineRule="auto"/>
        <w:ind w:firstLine="420" w:firstLineChars="200"/>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8</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22</w:t>
      </w:r>
      <w:r>
        <w:rPr>
          <w:rFonts w:hint="eastAsia" w:ascii="宋体" w:hAnsi="宋体" w:eastAsia="宋体"/>
          <w:bCs/>
          <w:color w:val="auto"/>
          <w:szCs w:val="21"/>
        </w:rPr>
        <w:t>年</w:t>
      </w:r>
      <w:r>
        <w:rPr>
          <w:rFonts w:hint="eastAsia" w:ascii="宋体" w:hAnsi="宋体" w:eastAsia="宋体"/>
          <w:bCs/>
          <w:color w:val="auto"/>
          <w:szCs w:val="21"/>
          <w:lang w:val="en-US" w:eastAsia="zh-CN"/>
        </w:rPr>
        <w:t>1-9月</w:t>
      </w:r>
      <w:r>
        <w:rPr>
          <w:rFonts w:hint="eastAsia" w:ascii="宋体" w:hAnsi="宋体" w:eastAsia="宋体"/>
          <w:bCs/>
          <w:color w:val="auto"/>
          <w:szCs w:val="21"/>
        </w:rPr>
        <w:t>质量目标完成情况检查表，按目标、措施、完成情况进行</w:t>
      </w:r>
      <w:r>
        <w:rPr>
          <w:rFonts w:hint="eastAsia" w:ascii="宋体" w:hAnsi="宋体" w:eastAsia="宋体"/>
          <w:bCs/>
          <w:color w:val="auto"/>
          <w:szCs w:val="21"/>
          <w:lang w:val="en-US" w:eastAsia="zh-CN"/>
        </w:rPr>
        <w:t>了</w:t>
      </w:r>
      <w:r>
        <w:rPr>
          <w:rFonts w:hint="eastAsia" w:ascii="宋体" w:hAnsi="宋体" w:eastAsia="宋体"/>
          <w:bCs/>
          <w:color w:val="auto"/>
          <w:szCs w:val="21"/>
        </w:rPr>
        <w:t>统计，记录内容全，每月统计，质量目标管理满足要求。</w:t>
      </w:r>
    </w:p>
    <w:p>
      <w:pPr>
        <w:widowControl/>
        <w:numPr>
          <w:ilvl w:val="0"/>
          <w:numId w:val="1"/>
        </w:numPr>
        <w:spacing w:line="360"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360" w:lineRule="auto"/>
        <w:ind w:firstLine="420" w:firstLineChars="200"/>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360" w:lineRule="auto"/>
        <w:ind w:firstLine="420" w:firstLineChars="200"/>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widowControl/>
        <w:spacing w:line="360" w:lineRule="auto"/>
        <w:rPr>
          <w:rFonts w:hint="eastAsia" w:asciiTheme="minorEastAsia" w:hAnsiTheme="minorEastAsia" w:eastAsiaTheme="minorEastAsia"/>
          <w:bCs/>
          <w:color w:val="auto"/>
          <w:szCs w:val="21"/>
          <w:lang w:eastAsia="zh-CN"/>
        </w:rPr>
      </w:pPr>
      <w:r>
        <w:rPr>
          <w:rFonts w:hint="eastAsia" w:asciiTheme="minorEastAsia" w:hAnsiTheme="minorEastAsia"/>
          <w:bCs/>
          <w:color w:val="auto"/>
          <w:szCs w:val="21"/>
          <w:lang w:val="en-US" w:eastAsia="zh-CN"/>
        </w:rPr>
        <w:t>10.</w:t>
      </w:r>
      <w:r>
        <w:rPr>
          <w:rFonts w:hint="eastAsia" w:asciiTheme="minorEastAsia" w:hAnsiTheme="minorEastAsia"/>
          <w:bCs/>
          <w:color w:val="auto"/>
          <w:szCs w:val="21"/>
        </w:rPr>
        <w:t xml:space="preserve"> 本次监督审核</w:t>
      </w:r>
      <w:r>
        <w:rPr>
          <w:rFonts w:hint="eastAsia" w:asciiTheme="minorEastAsia" w:hAnsiTheme="minorEastAsia"/>
          <w:bCs/>
          <w:color w:val="auto"/>
          <w:szCs w:val="21"/>
          <w:lang w:val="en-US" w:eastAsia="zh-CN"/>
        </w:rPr>
        <w:t>未发现</w:t>
      </w:r>
      <w:r>
        <w:rPr>
          <w:rFonts w:hint="eastAsia" w:asciiTheme="minorEastAsia" w:hAnsiTheme="minorEastAsia"/>
          <w:bCs/>
          <w:color w:val="auto"/>
          <w:szCs w:val="21"/>
        </w:rPr>
        <w:t>不符合</w:t>
      </w:r>
      <w:r>
        <w:rPr>
          <w:rFonts w:hint="eastAsia" w:asciiTheme="minorEastAsia" w:hAnsiTheme="minorEastAsia"/>
          <w:bCs/>
          <w:color w:val="auto"/>
          <w:szCs w:val="21"/>
          <w:lang w:val="en-US" w:eastAsia="zh-CN"/>
        </w:rPr>
        <w:t>项</w:t>
      </w:r>
      <w:r>
        <w:rPr>
          <w:rFonts w:hint="eastAsia" w:asciiTheme="minorEastAsia" w:hAnsiTheme="minorEastAsia"/>
          <w:bCs/>
          <w:color w:val="auto"/>
          <w:szCs w:val="21"/>
        </w:rPr>
        <w:t>，未发现严重的或系统性的不符合情况</w:t>
      </w:r>
      <w:r>
        <w:rPr>
          <w:rFonts w:hint="eastAsia" w:asciiTheme="minorEastAsia" w:hAnsiTheme="minorEastAsia"/>
          <w:bCs/>
          <w:color w:val="auto"/>
          <w:szCs w:val="21"/>
          <w:lang w:eastAsia="zh-CN"/>
        </w:rPr>
        <w:t>。</w:t>
      </w:r>
    </w:p>
    <w:p>
      <w:pPr>
        <w:widowControl/>
        <w:spacing w:line="360" w:lineRule="auto"/>
        <w:rPr>
          <w:rFonts w:hint="eastAsia" w:cs="宋体" w:asciiTheme="minorEastAsia" w:hAnsiTheme="minorEastAsia"/>
          <w:bCs/>
          <w:color w:val="auto"/>
          <w:kern w:val="0"/>
          <w:szCs w:val="21"/>
          <w:lang w:val="en-US" w:eastAsia="zh-CN"/>
        </w:rPr>
      </w:pPr>
      <w:r>
        <w:rPr>
          <w:rFonts w:hint="eastAsia" w:cs="宋体" w:asciiTheme="minorEastAsia" w:hAnsiTheme="minorEastAsia"/>
          <w:bCs/>
          <w:color w:val="auto"/>
          <w:kern w:val="0"/>
          <w:szCs w:val="21"/>
          <w:lang w:val="en-US" w:eastAsia="zh-CN"/>
        </w:rPr>
        <w:t>11.</w:t>
      </w:r>
      <w:r>
        <w:rPr>
          <w:rFonts w:hint="eastAsia" w:cs="宋体" w:asciiTheme="minorEastAsia" w:hAnsiTheme="minorEastAsia"/>
          <w:bCs/>
          <w:color w:val="auto"/>
          <w:kern w:val="0"/>
          <w:szCs w:val="21"/>
        </w:rPr>
        <w:t>产品的销售</w:t>
      </w:r>
      <w:r>
        <w:rPr>
          <w:rFonts w:hint="eastAsia" w:cs="宋体" w:asciiTheme="minorEastAsia" w:hAnsiTheme="minorEastAsia"/>
          <w:bCs/>
          <w:color w:val="auto"/>
          <w:kern w:val="0"/>
          <w:szCs w:val="21"/>
          <w:lang w:val="en-US" w:eastAsia="zh-CN"/>
        </w:rPr>
        <w:t>的情况：</w:t>
      </w:r>
    </w:p>
    <w:p>
      <w:pPr>
        <w:widowControl/>
        <w:spacing w:line="360" w:lineRule="auto"/>
        <w:ind w:firstLine="420" w:firstLineChars="200"/>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抽查转向助力泵、齿轮泵</w:t>
      </w:r>
      <w:r>
        <w:rPr>
          <w:rFonts w:hint="eastAsia" w:cs="宋体" w:asciiTheme="minorEastAsia" w:hAnsiTheme="minorEastAsia"/>
          <w:bCs/>
          <w:color w:val="auto"/>
          <w:kern w:val="0"/>
          <w:szCs w:val="21"/>
          <w:lang w:val="en-US" w:eastAsia="zh-CN"/>
        </w:rPr>
        <w:t>等</w:t>
      </w:r>
      <w:r>
        <w:rPr>
          <w:rFonts w:hint="eastAsia" w:cs="宋体" w:asciiTheme="minorEastAsia" w:hAnsiTheme="minorEastAsia"/>
          <w:bCs/>
          <w:color w:val="auto"/>
          <w:kern w:val="0"/>
          <w:szCs w:val="21"/>
        </w:rPr>
        <w:t>产品的销售合同，合同编号XCCG2022021 606，签订时间</w:t>
      </w:r>
      <w:r>
        <w:rPr>
          <w:rFonts w:hint="eastAsia" w:cs="宋体" w:asciiTheme="minorEastAsia" w:hAnsiTheme="minorEastAsia"/>
          <w:bCs/>
          <w:color w:val="auto"/>
          <w:kern w:val="0"/>
          <w:szCs w:val="21"/>
          <w:lang w:val="en-US" w:eastAsia="zh-CN"/>
        </w:rPr>
        <w:t>2022</w:t>
      </w:r>
      <w:r>
        <w:rPr>
          <w:rFonts w:hint="eastAsia" w:cs="宋体" w:asciiTheme="minorEastAsia" w:hAnsiTheme="minorEastAsia"/>
          <w:bCs/>
          <w:color w:val="auto"/>
          <w:kern w:val="0"/>
          <w:szCs w:val="21"/>
        </w:rPr>
        <w:t>年</w:t>
      </w:r>
      <w:r>
        <w:rPr>
          <w:rFonts w:hint="eastAsia" w:cs="宋体" w:asciiTheme="minorEastAsia" w:hAnsiTheme="minorEastAsia"/>
          <w:bCs/>
          <w:color w:val="auto"/>
          <w:kern w:val="0"/>
          <w:szCs w:val="21"/>
          <w:lang w:val="en-US" w:eastAsia="zh-CN"/>
        </w:rPr>
        <w:t>3</w:t>
      </w:r>
      <w:r>
        <w:rPr>
          <w:rFonts w:hint="eastAsia" w:cs="宋体" w:asciiTheme="minorEastAsia" w:hAnsiTheme="minorEastAsia"/>
          <w:bCs/>
          <w:color w:val="auto"/>
          <w:kern w:val="0"/>
          <w:szCs w:val="21"/>
        </w:rPr>
        <w:t>月</w:t>
      </w:r>
      <w:r>
        <w:rPr>
          <w:rFonts w:hint="eastAsia" w:cs="宋体" w:asciiTheme="minorEastAsia" w:hAnsiTheme="minorEastAsia"/>
          <w:bCs/>
          <w:color w:val="auto"/>
          <w:kern w:val="0"/>
          <w:szCs w:val="21"/>
          <w:lang w:val="en-US" w:eastAsia="zh-CN"/>
        </w:rPr>
        <w:t>12</w:t>
      </w:r>
      <w:r>
        <w:rPr>
          <w:rFonts w:hint="eastAsia" w:cs="宋体" w:asciiTheme="minorEastAsia" w:hAnsiTheme="minorEastAsia"/>
          <w:bCs/>
          <w:color w:val="auto"/>
          <w:kern w:val="0"/>
          <w:szCs w:val="21"/>
        </w:rPr>
        <w:t>日。确认企业对应的产品生产过程涉及有对应的测量过程和测量设备，测量设备的配备可满足该合同产品的生产和检验要求</w:t>
      </w:r>
      <w:r>
        <w:rPr>
          <w:rFonts w:hint="eastAsia" w:cs="宋体" w:asciiTheme="minorEastAsia" w:hAnsiTheme="minorEastAsia"/>
          <w:bCs/>
          <w:color w:val="auto"/>
          <w:kern w:val="0"/>
          <w:szCs w:val="21"/>
          <w:lang w:eastAsia="zh-CN"/>
        </w:rPr>
        <w:t>。</w:t>
      </w:r>
    </w:p>
    <w:p>
      <w:pPr>
        <w:widowControl/>
        <w:spacing w:line="360"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三、监督审核结论意见(含需要说明的事项):</w:t>
      </w:r>
    </w:p>
    <w:p>
      <w:pPr>
        <w:widowControl/>
        <w:spacing w:line="360" w:lineRule="auto"/>
        <w:ind w:firstLine="420" w:firstLineChars="200"/>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通过20</w:t>
      </w:r>
      <w:r>
        <w:rPr>
          <w:rFonts w:hint="eastAsia" w:cs="宋体" w:asciiTheme="minorEastAsia" w:hAnsiTheme="minorEastAsia"/>
          <w:bCs/>
          <w:color w:val="auto"/>
          <w:kern w:val="0"/>
          <w:szCs w:val="21"/>
          <w:lang w:val="en-US" w:eastAsia="zh-CN"/>
        </w:rPr>
        <w:t>22</w:t>
      </w:r>
      <w:r>
        <w:rPr>
          <w:rFonts w:hint="eastAsia" w:cs="宋体" w:asciiTheme="minorEastAsia" w:hAnsiTheme="minorEastAsia"/>
          <w:bCs/>
          <w:color w:val="auto"/>
          <w:kern w:val="0"/>
          <w:szCs w:val="21"/>
        </w:rPr>
        <w:t>年</w:t>
      </w:r>
      <w:r>
        <w:rPr>
          <w:rFonts w:hint="eastAsia" w:cs="宋体" w:asciiTheme="minorEastAsia" w:hAnsiTheme="minorEastAsia"/>
          <w:bCs/>
          <w:color w:val="auto"/>
          <w:kern w:val="0"/>
          <w:szCs w:val="21"/>
          <w:lang w:val="en-US" w:eastAsia="zh-CN"/>
        </w:rPr>
        <w:t>10</w:t>
      </w:r>
      <w:r>
        <w:rPr>
          <w:rFonts w:hint="eastAsia" w:cs="宋体" w:asciiTheme="minorEastAsia" w:hAnsiTheme="minorEastAsia"/>
          <w:bCs/>
          <w:color w:val="auto"/>
          <w:kern w:val="0"/>
          <w:szCs w:val="21"/>
        </w:rPr>
        <w:t>月</w:t>
      </w:r>
      <w:r>
        <w:rPr>
          <w:rFonts w:hint="eastAsia" w:cs="宋体" w:asciiTheme="minorEastAsia" w:hAnsiTheme="minorEastAsia"/>
          <w:bCs/>
          <w:color w:val="auto"/>
          <w:kern w:val="0"/>
          <w:szCs w:val="21"/>
          <w:lang w:val="en-US" w:eastAsia="zh-CN"/>
        </w:rPr>
        <w:t>18</w:t>
      </w:r>
      <w:r>
        <w:rPr>
          <w:rFonts w:hint="eastAsia" w:cs="宋体" w:asciiTheme="minorEastAsia" w:hAnsiTheme="minorEastAsia"/>
          <w:bCs/>
          <w:color w:val="auto"/>
          <w:kern w:val="0"/>
          <w:szCs w:val="21"/>
        </w:rPr>
        <w:t>日-</w:t>
      </w:r>
      <w:r>
        <w:rPr>
          <w:rFonts w:hint="eastAsia" w:cs="宋体" w:asciiTheme="minorEastAsia" w:hAnsiTheme="minorEastAsia"/>
          <w:bCs/>
          <w:color w:val="auto"/>
          <w:kern w:val="0"/>
          <w:szCs w:val="21"/>
          <w:lang w:val="en-US" w:eastAsia="zh-CN"/>
        </w:rPr>
        <w:t>19</w:t>
      </w:r>
      <w:r>
        <w:rPr>
          <w:rFonts w:hint="eastAsia" w:cs="宋体" w:asciiTheme="minorEastAsia" w:hAnsiTheme="minorEastAsia"/>
          <w:bCs/>
          <w:color w:val="auto"/>
          <w:kern w:val="0"/>
          <w:szCs w:val="21"/>
        </w:rPr>
        <w:t>日</w:t>
      </w:r>
      <w:r>
        <w:rPr>
          <w:rFonts w:hint="eastAsia" w:cs="宋体" w:asciiTheme="minorEastAsia" w:hAnsiTheme="minorEastAsia"/>
          <w:bCs/>
          <w:color w:val="auto"/>
          <w:kern w:val="0"/>
          <w:szCs w:val="21"/>
          <w:lang w:val="en-US" w:eastAsia="zh-CN"/>
        </w:rPr>
        <w:t>上午</w:t>
      </w:r>
      <w:r>
        <w:rPr>
          <w:rFonts w:hint="eastAsia" w:cs="宋体" w:asciiTheme="minorEastAsia" w:hAnsiTheme="minorEastAsia"/>
          <w:bCs/>
          <w:color w:val="auto"/>
          <w:kern w:val="0"/>
          <w:szCs w:val="21"/>
        </w:rPr>
        <w:t>，对</w:t>
      </w:r>
      <w:r>
        <w:rPr>
          <w:rFonts w:cs="宋体" w:asciiTheme="minorEastAsia" w:hAnsiTheme="minorEastAsia"/>
          <w:kern w:val="0"/>
          <w:szCs w:val="21"/>
        </w:rPr>
        <w:t>太重榆液长治液压有限公司</w:t>
      </w:r>
      <w:r>
        <w:rPr>
          <w:rFonts w:hint="eastAsia" w:cs="宋体" w:asciiTheme="minorEastAsia" w:hAnsiTheme="minorEastAsia"/>
          <w:bCs/>
          <w:color w:val="auto"/>
          <w:kern w:val="0"/>
          <w:szCs w:val="21"/>
        </w:rPr>
        <w:t>监督审核</w:t>
      </w:r>
      <w:r>
        <w:rPr>
          <w:rFonts w:hint="eastAsia" w:cs="宋体" w:asciiTheme="minorEastAsia" w:hAnsiTheme="minorEastAsia"/>
          <w:bCs/>
          <w:color w:val="auto"/>
          <w:kern w:val="0"/>
          <w:szCs w:val="21"/>
          <w:lang w:eastAsia="zh-CN"/>
        </w:rPr>
        <w:t>，</w:t>
      </w:r>
      <w:r>
        <w:rPr>
          <w:rFonts w:hint="eastAsia" w:cs="宋体" w:asciiTheme="minorEastAsia" w:hAnsiTheme="minorEastAsia"/>
          <w:bCs/>
          <w:color w:val="auto"/>
          <w:kern w:val="0"/>
          <w:szCs w:val="21"/>
          <w:lang w:val="en-US" w:eastAsia="zh-CN"/>
        </w:rPr>
        <w:t>通过腾讯会议及微信、手机视频，通过审核电子文档、照片或截屏、视频等形式获取信息，</w:t>
      </w:r>
      <w:r>
        <w:rPr>
          <w:rFonts w:hint="eastAsia" w:cs="宋体" w:asciiTheme="minorEastAsia" w:hAnsiTheme="minorEastAsia"/>
          <w:bCs/>
          <w:color w:val="auto"/>
          <w:kern w:val="0"/>
          <w:szCs w:val="21"/>
        </w:rPr>
        <w:t>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kern w:val="0"/>
          <w:szCs w:val="21"/>
        </w:rPr>
        <w:t>太重榆液长治液压有限公司</w:t>
      </w:r>
      <w:r>
        <w:rPr>
          <w:rFonts w:hint="eastAsia" w:cs="宋体" w:asciiTheme="minorEastAsia" w:hAnsiTheme="minorEastAsia"/>
          <w:bCs/>
          <w:color w:val="auto"/>
          <w:kern w:val="0"/>
          <w:szCs w:val="21"/>
        </w:rPr>
        <w:t>测量管理体系，符合GB/T 19022-2003标准要求，对体系运行具有持续的有效性、符合性予以肯定。建议报请北京国标联合认证有限公司批准通过监督审核。</w:t>
      </w:r>
    </w:p>
    <w:p>
      <w:pPr>
        <w:widowControl/>
        <w:spacing w:line="276" w:lineRule="auto"/>
        <w:ind w:firstLine="420" w:firstLineChars="200"/>
        <w:rPr>
          <w:rFonts w:hint="eastAsia" w:cs="宋体" w:asciiTheme="minorEastAsia" w:hAnsiTheme="minorEastAsia"/>
          <w:bCs/>
          <w:color w:val="auto"/>
          <w:kern w:val="0"/>
          <w:szCs w:val="21"/>
        </w:rPr>
      </w:pPr>
    </w:p>
    <w:p>
      <w:pPr>
        <w:widowControl/>
        <w:spacing w:line="276" w:lineRule="auto"/>
        <w:ind w:firstLine="440" w:firstLineChars="200"/>
        <w:rPr>
          <w:rFonts w:hint="eastAsia" w:cs="宋体" w:asciiTheme="minorEastAsia" w:hAnsiTheme="minorEastAsia"/>
          <w:bCs/>
          <w:color w:val="auto"/>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2336" behindDoc="0" locked="0" layoutInCell="1" allowOverlap="1">
            <wp:simplePos x="0" y="0"/>
            <wp:positionH relativeFrom="column">
              <wp:posOffset>1616710</wp:posOffset>
            </wp:positionH>
            <wp:positionV relativeFrom="paragraph">
              <wp:posOffset>83820</wp:posOffset>
            </wp:positionV>
            <wp:extent cx="664210" cy="455930"/>
            <wp:effectExtent l="0" t="0" r="8890" b="127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664210" cy="455930"/>
                    </a:xfrm>
                    <a:prstGeom prst="rect">
                      <a:avLst/>
                    </a:prstGeom>
                    <a:solidFill>
                      <a:schemeClr val="bg1">
                        <a:alpha val="0"/>
                      </a:schemeClr>
                    </a:solidFill>
                  </pic:spPr>
                </pic:pic>
              </a:graphicData>
            </a:graphic>
          </wp:anchor>
        </w:drawing>
      </w:r>
    </w:p>
    <w:p>
      <w:pPr>
        <w:widowControl/>
        <w:spacing w:line="276" w:lineRule="auto"/>
        <w:ind w:firstLine="420" w:firstLineChars="200"/>
        <w:rPr>
          <w:rFonts w:hint="default" w:cs="宋体" w:asciiTheme="minorEastAsia" w:hAnsiTheme="minorEastAsia" w:eastAsiaTheme="minorEastAsia"/>
          <w:bCs/>
          <w:color w:val="auto"/>
          <w:kern w:val="0"/>
          <w:szCs w:val="21"/>
          <w:lang w:val="en-US" w:eastAsia="zh-CN"/>
        </w:rPr>
      </w:pPr>
      <w:r>
        <w:rPr>
          <w:rFonts w:hint="eastAsia" w:cs="宋体" w:asciiTheme="minorEastAsia" w:hAnsiTheme="minorEastAsia"/>
          <w:bCs/>
          <w:color w:val="auto"/>
          <w:kern w:val="0"/>
          <w:szCs w:val="21"/>
        </w:rPr>
        <w:t>审核组组长（签字）：                                 日 期：</w:t>
      </w:r>
      <w:r>
        <w:rPr>
          <w:rFonts w:hint="eastAsia" w:cs="宋体" w:asciiTheme="minorEastAsia" w:hAnsiTheme="minorEastAsia"/>
          <w:bCs/>
          <w:color w:val="auto"/>
          <w:kern w:val="0"/>
          <w:szCs w:val="21"/>
          <w:lang w:val="en-US" w:eastAsia="zh-CN"/>
        </w:rPr>
        <w:t>2022.10.19</w:t>
      </w:r>
    </w:p>
    <w:p>
      <w:pPr>
        <w:widowControl/>
        <w:spacing w:line="276" w:lineRule="auto"/>
        <w:ind w:firstLine="420" w:firstLineChars="200"/>
        <w:rPr>
          <w:rFonts w:hint="eastAsia" w:cs="宋体" w:asciiTheme="minorEastAsia" w:hAnsiTheme="minorEastAsia"/>
          <w:bCs/>
          <w:color w:val="auto"/>
          <w:kern w:val="0"/>
          <w:szCs w:val="21"/>
        </w:rPr>
      </w:pPr>
    </w:p>
    <w:p>
      <w:pPr>
        <w:widowControl/>
        <w:spacing w:line="276" w:lineRule="auto"/>
        <w:ind w:firstLine="420" w:firstLineChars="200"/>
        <w:rPr>
          <w:rFonts w:hint="eastAsia" w:cs="宋体" w:asciiTheme="minorEastAsia" w:hAnsiTheme="minorEastAsia"/>
          <w:bCs/>
          <w:color w:val="auto"/>
          <w:kern w:val="0"/>
          <w:szCs w:val="21"/>
        </w:rPr>
      </w:pPr>
      <w:r>
        <w:rPr>
          <w:rFonts w:hint="eastAsia"/>
          <w:vertAlign w:val="baseline"/>
          <w:lang w:val="en-US" w:eastAsia="zh-CN"/>
        </w:rPr>
        <w:drawing>
          <wp:anchor distT="0" distB="0" distL="114300" distR="114300" simplePos="0" relativeHeight="251664384" behindDoc="0" locked="0" layoutInCell="1" allowOverlap="1">
            <wp:simplePos x="0" y="0"/>
            <wp:positionH relativeFrom="column">
              <wp:posOffset>4392295</wp:posOffset>
            </wp:positionH>
            <wp:positionV relativeFrom="paragraph">
              <wp:posOffset>135890</wp:posOffset>
            </wp:positionV>
            <wp:extent cx="452120" cy="347980"/>
            <wp:effectExtent l="0" t="0" r="5080" b="7620"/>
            <wp:wrapNone/>
            <wp:docPr id="2" name="图片 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7475f2d71659eed95b546a81c2d41"/>
                    <pic:cNvPicPr>
                      <a:picLocks noChangeAspect="1"/>
                    </pic:cNvPicPr>
                  </pic:nvPicPr>
                  <pic:blipFill>
                    <a:blip r:embed="rId7"/>
                    <a:stretch>
                      <a:fillRect/>
                    </a:stretch>
                  </pic:blipFill>
                  <pic:spPr>
                    <a:xfrm>
                      <a:off x="0" y="0"/>
                      <a:ext cx="452120" cy="347980"/>
                    </a:xfrm>
                    <a:prstGeom prst="rect">
                      <a:avLst/>
                    </a:prstGeom>
                  </pic:spPr>
                </pic:pic>
              </a:graphicData>
            </a:graphic>
          </wp:anchor>
        </w:drawing>
      </w: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1647825</wp:posOffset>
            </wp:positionH>
            <wp:positionV relativeFrom="paragraph">
              <wp:posOffset>127635</wp:posOffset>
            </wp:positionV>
            <wp:extent cx="502285" cy="386715"/>
            <wp:effectExtent l="0" t="0" r="5715" b="698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7"/>
                    <a:stretch>
                      <a:fillRect/>
                    </a:stretch>
                  </pic:blipFill>
                  <pic:spPr>
                    <a:xfrm>
                      <a:off x="0" y="0"/>
                      <a:ext cx="502285" cy="386715"/>
                    </a:xfrm>
                    <a:prstGeom prst="rect">
                      <a:avLst/>
                    </a:prstGeom>
                  </pic:spPr>
                </pic:pic>
              </a:graphicData>
            </a:graphic>
          </wp:anchor>
        </w:drawing>
      </w:r>
    </w:p>
    <w:p>
      <w:pPr>
        <w:widowControl/>
        <w:spacing w:line="276" w:lineRule="auto"/>
        <w:ind w:firstLine="420" w:firstLineChars="200"/>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审核组成员(签字)：                                   日 期：  </w:t>
      </w:r>
    </w:p>
    <w:p>
      <w:pPr>
        <w:widowControl/>
        <w:spacing w:line="276" w:lineRule="auto"/>
        <w:ind w:firstLine="420" w:firstLineChars="200"/>
        <w:rPr>
          <w:rFonts w:hint="eastAsia" w:cs="宋体" w:asciiTheme="minorEastAsia" w:hAnsiTheme="minorEastAsia"/>
          <w:bCs/>
          <w:color w:val="auto"/>
          <w:kern w:val="0"/>
          <w:szCs w:val="21"/>
        </w:rPr>
      </w:pPr>
    </w:p>
    <w:p>
      <w:pPr>
        <w:widowControl/>
        <w:spacing w:line="276" w:lineRule="auto"/>
        <w:ind w:firstLine="420" w:firstLineChars="200"/>
        <w:rPr>
          <w:rFonts w:hint="eastAsia" w:cs="宋体" w:asciiTheme="minorEastAsia" w:hAnsiTheme="minorEastAsia"/>
          <w:bCs/>
          <w:color w:val="auto"/>
          <w:kern w:val="0"/>
          <w:szCs w:val="21"/>
        </w:rPr>
      </w:pPr>
    </w:p>
    <w:p>
      <w:pPr>
        <w:widowControl/>
        <w:spacing w:line="276" w:lineRule="auto"/>
        <w:ind w:firstLine="420" w:firstLineChars="200"/>
        <w:rPr>
          <w:rFonts w:hint="eastAsia" w:cs="宋体" w:asciiTheme="minorEastAsia" w:hAnsiTheme="minorEastAsia"/>
          <w:bCs/>
          <w:color w:val="auto"/>
          <w:kern w:val="0"/>
          <w:szCs w:val="21"/>
        </w:rPr>
      </w:pPr>
    </w:p>
    <w:p>
      <w:pPr>
        <w:widowControl/>
        <w:spacing w:line="276" w:lineRule="auto"/>
        <w:ind w:firstLine="420" w:firstLineChars="200"/>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162A4334"/>
    <w:rsid w:val="17EC4792"/>
    <w:rsid w:val="3C157BA2"/>
    <w:rsid w:val="481454F6"/>
    <w:rsid w:val="5DB21B1B"/>
    <w:rsid w:val="72367250"/>
    <w:rsid w:val="7FFB60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52</TotalTime>
  <ScaleCrop>false</ScaleCrop>
  <LinksUpToDate>false</LinksUpToDate>
  <CharactersWithSpaces>2163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2022-11-06T03:53:52Z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196E3C2210E04A0A96FC685B7F776B01</vt:lpwstr>
  </property>
</Properties>
</file>