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5"/>
                <w:u w:val="single"/>
              </w:rPr>
              <w:t>环安生物技术服务有限公司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72135" cy="273050"/>
                  <wp:effectExtent l="0" t="0" r="6985" b="12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095" cy="342900"/>
                  <wp:effectExtent l="0" t="0" r="1905" b="762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8"/>
              </w:rPr>
              <w:t>接受任务—见证取样—检测—记录数据—数据整理—编制报告—报告校核批准—打印存档—报告发送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lang w:val="en-US" w:eastAsia="zh-CN" w:bidi="ar-SA"/>
              </w:rPr>
              <w:t>关键过程：抽样、检验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主要控制参数：抽样点位置、抽样时间、检测方法、仪器使用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《检验检测机构资质认定管理办法》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产品技术标准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《II 级生物安全柜》 YY 0569-2011 6.3.12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《洁净厂房施工及质量验收规范》 GB 51110-2015 附录 C.4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技术要求（合同）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《消毒技术规范》（2002 年版） 2.2.1.2.1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  <w:t>公共场所：一氧化碳、二氧化碳、甲醛、氨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  <w:t>洁净房：高效过滤器检漏、风速、换气次数、洁净度、严密性、压差、温度、湿度、照度浮游菌、沉降菌等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4" name="图片 2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5" name="图片 2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环安生物技术服务有限公司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15" name="图片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72135" cy="273050"/>
                  <wp:effectExtent l="0" t="0" r="6985" b="1270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095" cy="342900"/>
                  <wp:effectExtent l="0" t="0" r="1905" b="7620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8"/>
              </w:rPr>
              <w:t>接受任务—见证取样—检测—记录数据—数据整理—编制报告—报告校核批准—打印存档—报告发送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重要环境因素：1）潜在火灾事故发生；2）固体废弃物排放;3）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 w:ascii="宋体" w:hAnsi="宋体"/>
                <w:sz w:val="21"/>
                <w:szCs w:val="21"/>
              </w:rPr>
              <w:t>排放。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控制措施：1）潜在火灾事故发生：环境管理方案、运行控制程序、火灾应急预案；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固体废弃物排放：环境管理方案、运行控制程序；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 w:ascii="宋体" w:hAnsi="宋体"/>
                <w:sz w:val="21"/>
                <w:szCs w:val="21"/>
              </w:rPr>
              <w:t>排放：环境管理方案、运行控制程序。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北京市消防条例</w:t>
            </w:r>
            <w:r>
              <w:rPr>
                <w:rFonts w:hint="eastAsia"/>
                <w:sz w:val="21"/>
                <w:szCs w:val="21"/>
              </w:rPr>
              <w:t>》、《中华人民共和国消防法》、《大气污染物综合排放标准》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水污染防治法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8" name="图片 2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9" name="图片 2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环安生物技术服务有限公司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1" name="图片 2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72135" cy="273050"/>
                  <wp:effectExtent l="0" t="0" r="6985" b="1270"/>
                  <wp:docPr id="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095" cy="342900"/>
                  <wp:effectExtent l="0" t="0" r="1905" b="762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8"/>
              </w:rPr>
              <w:t>接受任务—见证取样—检测—记录数据—数据整理—编制报告—报告校核批准—打印存档—报告发送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不可接受风险：1）火灾；2）意外伤害（物体打击、机械伤害、意外摔伤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控制措施：1）火灾：培训学习及运行控制；2）意外伤害：技能训练、管理及应急方案、运行控制程序。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3）安装漏电保护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《北京市女职工劳动保护实施办法》、《工伤保险条例》、《工伤认定办法》、《北京市职业病诊断与鉴定管理办法》、《职业性健康检查管理规定》、《中华人民共和国消防法》、《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安全生产法</w:t>
            </w:r>
            <w:r>
              <w:rPr>
                <w:rFonts w:hint="eastAsia"/>
                <w:sz w:val="21"/>
                <w:szCs w:val="21"/>
              </w:rPr>
              <w:t>》和合同协议等。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32" name="图片 3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33" name="图片 3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72A0AD1"/>
    <w:rsid w:val="32972B33"/>
    <w:rsid w:val="34FE321F"/>
    <w:rsid w:val="4EDD31C5"/>
    <w:rsid w:val="76DC5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locked/>
    <w:uiPriority w:val="0"/>
    <w:rPr>
      <w:i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1145</Words>
  <Characters>1292</Characters>
  <Lines>2</Lines>
  <Paragraphs>1</Paragraphs>
  <TotalTime>1</TotalTime>
  <ScaleCrop>false</ScaleCrop>
  <LinksUpToDate>false</LinksUpToDate>
  <CharactersWithSpaces>1305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2022-10-17T02:09:06Z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