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西部矿业股份有限公司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质量工艺技术管理部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76" w:lineRule="auto"/>
              <w:ind w:firstLine="422" w:firstLineChars="200"/>
              <w:jc w:val="left"/>
              <w:rPr>
                <w:rFonts w:hint="eastAsia" w:ascii="Arial" w:hAnsi="Arial"/>
                <w:b/>
                <w:iCs/>
                <w:szCs w:val="21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经查：该部门提供的企业知识清单，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为2021年3月，2022年为</w:t>
            </w:r>
            <w:r>
              <w:rPr>
                <w:rFonts w:hint="eastAsia" w:ascii="Arial" w:hAnsi="Arial"/>
                <w:b/>
                <w:iCs/>
                <w:szCs w:val="21"/>
              </w:rPr>
              <w:t>未重新评估，不满足每年至少评估一次的要求。不符合GB/T</w:t>
            </w:r>
            <w:r>
              <w:rPr>
                <w:rFonts w:ascii="Arial" w:hAnsi="Arial"/>
                <w:b/>
                <w:iCs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szCs w:val="21"/>
              </w:rPr>
              <w:t>ISO</w:t>
            </w:r>
            <w:r>
              <w:rPr>
                <w:rFonts w:ascii="Arial" w:hAnsi="Arial"/>
                <w:b/>
                <w:iCs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szCs w:val="21"/>
              </w:rPr>
              <w:t>条款 “为应对不断变化的需求和发展趋势，组织应考虑现有的知识，确定如何获更多得必要的知识，以进行更新”的相关规定。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177800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7620</wp:posOffset>
                  </wp:positionV>
                  <wp:extent cx="694690" cy="327025"/>
                  <wp:effectExtent l="0" t="0" r="0" b="8890"/>
                  <wp:wrapNone/>
                  <wp:docPr id="2" name="图片 2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张发军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2022.10.21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21590</wp:posOffset>
                  </wp:positionV>
                  <wp:extent cx="694690" cy="327025"/>
                  <wp:effectExtent l="0" t="0" r="0" b="8890"/>
                  <wp:wrapNone/>
                  <wp:docPr id="3" name="图片 3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2022.10.24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  <w:color w:val="FF0000"/>
              </w:rPr>
            </w:pP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该部门提供的企业知识清单，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  <w:lang w:val="en-US" w:eastAsia="zh-CN"/>
              </w:rPr>
              <w:t>为2021年3月，2022年为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未重新评估，不满足每年至少评估一次的要求。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eastAsia" w:eastAsia="宋体"/>
                <w:b/>
                <w:color w:val="FF0000"/>
                <w:lang w:eastAsia="zh-CN"/>
              </w:rPr>
            </w:pPr>
            <w:r>
              <w:rPr>
                <w:rFonts w:hint="eastAsia" w:ascii="Arial" w:hAnsi="Arial"/>
                <w:b/>
                <w:iCs/>
                <w:color w:val="FF0000"/>
                <w:szCs w:val="21"/>
                <w:lang w:val="en-US" w:eastAsia="zh-CN"/>
              </w:rPr>
              <w:t>组织</w:t>
            </w:r>
            <w:r>
              <w:rPr>
                <w:rFonts w:hint="eastAsia" w:ascii="Arial" w:hAnsi="Arial" w:eastAsia="宋体" w:cs="Times New Roman"/>
                <w:b/>
                <w:iCs/>
                <w:color w:val="FF0000"/>
                <w:szCs w:val="21"/>
              </w:rPr>
              <w:t>质量工艺技术管理部</w:t>
            </w:r>
            <w:r>
              <w:rPr>
                <w:rFonts w:hint="eastAsia" w:ascii="Arial" w:hAnsi="Arial" w:eastAsia="宋体" w:cs="Times New Roman"/>
                <w:b/>
                <w:iCs/>
                <w:color w:val="FF0000"/>
                <w:szCs w:val="21"/>
                <w:lang w:val="en-US" w:eastAsia="zh-CN"/>
              </w:rPr>
              <w:t>相关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  <w:lang w:val="en-US" w:eastAsia="zh-CN"/>
              </w:rPr>
              <w:t>人员对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企业知识更新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  <w:color w:val="FF0000"/>
              </w:rPr>
            </w:pPr>
            <w:r>
              <w:rPr>
                <w:rFonts w:hint="eastAsia" w:ascii="Arial" w:hAnsi="Arial" w:eastAsia="宋体" w:cs="Times New Roman"/>
                <w:b/>
                <w:iCs/>
                <w:color w:val="FF0000"/>
                <w:szCs w:val="21"/>
              </w:rPr>
              <w:t>质量工艺技术管理部</w:t>
            </w:r>
            <w:r>
              <w:rPr>
                <w:rFonts w:hint="eastAsia" w:ascii="Arial" w:hAnsi="Arial" w:eastAsia="宋体" w:cs="Times New Roman"/>
                <w:b/>
                <w:iCs/>
                <w:color w:val="FF0000"/>
                <w:szCs w:val="21"/>
                <w:lang w:val="en-US" w:eastAsia="zh-CN"/>
              </w:rPr>
              <w:t>工作</w:t>
            </w:r>
            <w:r>
              <w:rPr>
                <w:rFonts w:hint="eastAsia" w:ascii="Arial" w:hAnsi="Arial"/>
                <w:b/>
                <w:iCs/>
                <w:color w:val="FF0000"/>
                <w:kern w:val="2"/>
                <w:szCs w:val="21"/>
              </w:rPr>
              <w:t>人员对GB/T</w:t>
            </w:r>
            <w:r>
              <w:rPr>
                <w:rFonts w:ascii="Arial" w:hAnsi="Arial"/>
                <w:b/>
                <w:iCs/>
                <w:color w:val="FF0000"/>
                <w:kern w:val="2"/>
                <w:szCs w:val="21"/>
              </w:rPr>
              <w:t>19001</w:t>
            </w:r>
            <w:r>
              <w:rPr>
                <w:rFonts w:hint="eastAsia" w:ascii="Arial" w:hAnsi="Arial"/>
                <w:b/>
                <w:iCs/>
                <w:color w:val="FF0000"/>
                <w:kern w:val="2"/>
                <w:szCs w:val="21"/>
              </w:rPr>
              <w:t>-201</w:t>
            </w:r>
            <w:r>
              <w:rPr>
                <w:rFonts w:ascii="Arial" w:hAnsi="Arial"/>
                <w:b/>
                <w:iCs/>
                <w:color w:val="FF0000"/>
                <w:kern w:val="2"/>
                <w:szCs w:val="21"/>
              </w:rPr>
              <w:t>6</w:t>
            </w:r>
            <w:r>
              <w:rPr>
                <w:rFonts w:hint="eastAsia" w:ascii="Arial" w:hAnsi="Arial"/>
                <w:b/>
                <w:iCs/>
                <w:color w:val="FF0000"/>
                <w:kern w:val="2"/>
                <w:szCs w:val="21"/>
              </w:rPr>
              <w:t>标准</w:t>
            </w:r>
            <w:r>
              <w:rPr>
                <w:rFonts w:ascii="Arial" w:hAnsi="Arial"/>
                <w:b/>
                <w:iCs/>
                <w:color w:val="FF0000"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color w:val="FF0000"/>
                <w:kern w:val="2"/>
                <w:szCs w:val="21"/>
              </w:rPr>
              <w:t>条款的相关要求，认识不足，工作疏忽所致。</w:t>
            </w:r>
          </w:p>
          <w:p>
            <w:pPr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875"/>
              </w:tabs>
              <w:adjustRightInd w:val="0"/>
              <w:snapToGrid w:val="0"/>
              <w:spacing w:before="187" w:beforeLines="60" w:after="187" w:afterLines="60"/>
              <w:ind w:firstLine="422" w:firstLineChars="200"/>
              <w:jc w:val="left"/>
              <w:rPr>
                <w:rFonts w:hint="eastAsia" w:ascii="Arial" w:hAnsi="Arial"/>
                <w:b/>
                <w:iCs/>
                <w:color w:val="FF0000"/>
                <w:szCs w:val="21"/>
              </w:rPr>
            </w:pP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对</w:t>
            </w:r>
            <w:r>
              <w:rPr>
                <w:rFonts w:hint="eastAsia" w:ascii="Arial" w:hAnsi="Arial" w:eastAsia="宋体" w:cs="Times New Roman"/>
                <w:b/>
                <w:iCs/>
                <w:color w:val="FF0000"/>
                <w:szCs w:val="21"/>
              </w:rPr>
              <w:t>质量工艺技术管理部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相关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  <w:lang w:val="en-US" w:eastAsia="zh-CN"/>
              </w:rPr>
              <w:t>工作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人员进行GB/T</w:t>
            </w:r>
            <w:r>
              <w:rPr>
                <w:rFonts w:ascii="Arial" w:hAnsi="Arial"/>
                <w:b/>
                <w:iCs/>
                <w:color w:val="FF0000"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color w:val="FF0000"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ISO</w:t>
            </w:r>
            <w:r>
              <w:rPr>
                <w:rFonts w:ascii="Arial" w:hAnsi="Arial"/>
                <w:b/>
                <w:iCs/>
                <w:color w:val="FF0000"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color w:val="FF0000"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条款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  <w:lang w:val="en-US" w:eastAsia="zh-CN"/>
              </w:rPr>
              <w:t>及</w:t>
            </w:r>
            <w:r>
              <w:rPr>
                <w:rFonts w:hint="eastAsia" w:ascii="Arial" w:hAnsi="Arial"/>
                <w:b/>
                <w:iCs/>
                <w:color w:val="FF0000"/>
                <w:szCs w:val="21"/>
              </w:rPr>
              <w:t>公司相关规章制度的培训。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hint="default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 xml:space="preserve"> 加强部门人员的管理体系知识，细化工作，对类似法律法规等需要更新的文件进行检查，杜绝类似事件再次发生。</w:t>
            </w:r>
          </w:p>
          <w:p>
            <w:pPr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1054" w:firstLineChars="500"/>
              <w:rPr>
                <w:rFonts w:hint="default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 xml:space="preserve">张发军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期：</w:t>
            </w:r>
            <w:r>
              <w:rPr>
                <w:rFonts w:hint="eastAsia" w:eastAsia="方正仿宋简体"/>
                <w:b/>
                <w:color w:val="FF0000"/>
                <w:lang w:val="en-US" w:eastAsia="zh-CN"/>
              </w:rPr>
              <w:t>2022.10.24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eastAsia="方正仿宋简体"/>
          <w:b/>
          <w:color w:val="FF0000"/>
          <w:lang w:val="en-US" w:eastAsia="zh-CN"/>
        </w:rPr>
        <w:t>张发军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eastAsia="方正仿宋简体"/>
          <w:b/>
        </w:rPr>
        <w:t>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eastAsia="方正仿宋简体"/>
          <w:b/>
          <w:color w:val="FF0000"/>
          <w:lang w:val="en-US" w:eastAsia="zh-CN"/>
        </w:rPr>
        <w:t>2022.10.24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57C377D"/>
    <w:rsid w:val="764375E0"/>
    <w:rsid w:val="78610B1C"/>
    <w:rsid w:val="7BF17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2022-10-22T05:07:30Z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