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1112-2022-Q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西部矿业股份有限公司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760"/>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西部矿业股份有限公司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青海省西宁市五四大街52号</w:t>
            </w:r>
            <w:bookmarkEnd w:id="6"/>
          </w:p>
        </w:tc>
        <w:tc>
          <w:tcPr>
            <w:tcW w:w="760" w:type="dxa"/>
            <w:vMerge w:val="restart"/>
            <w:vAlign w:val="center"/>
          </w:tcPr>
          <w:p>
            <w:r>
              <w:rPr>
                <w:rFonts w:hint="eastAsia"/>
              </w:rPr>
              <w:t>邮编</w:t>
            </w:r>
          </w:p>
        </w:tc>
        <w:tc>
          <w:tcPr>
            <w:tcW w:w="2253" w:type="dxa"/>
          </w:tcPr>
          <w:p>
            <w:bookmarkStart w:id="7" w:name="注册邮编"/>
            <w:r>
              <w:t>810000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highlight w:val="none"/>
              </w:rPr>
            </w:pPr>
            <w:r>
              <w:rPr>
                <w:rFonts w:hint="eastAsia"/>
                <w:highlight w:val="none"/>
              </w:rPr>
              <w:t>经营地址</w:t>
            </w:r>
          </w:p>
        </w:tc>
        <w:tc>
          <w:tcPr>
            <w:tcW w:w="5045" w:type="dxa"/>
            <w:gridSpan w:val="3"/>
          </w:tcPr>
          <w:p>
            <w:pPr>
              <w:rPr>
                <w:highlight w:val="none"/>
              </w:rPr>
            </w:pPr>
            <w:bookmarkStart w:id="8" w:name="生产地址"/>
            <w:r>
              <w:rPr>
                <w:highlight w:val="none"/>
              </w:rPr>
              <w:t>青海省西宁市五四大街52号</w:t>
            </w:r>
            <w:bookmarkEnd w:id="8"/>
          </w:p>
        </w:tc>
        <w:tc>
          <w:tcPr>
            <w:tcW w:w="760" w:type="dxa"/>
            <w:vMerge w:val="continue"/>
            <w:vAlign w:val="center"/>
          </w:tcPr>
          <w:p/>
        </w:tc>
        <w:tc>
          <w:tcPr>
            <w:tcW w:w="2253" w:type="dxa"/>
          </w:tcPr>
          <w:p>
            <w:bookmarkStart w:id="9" w:name="办公邮编"/>
            <w:r>
              <w:t>810000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张发军</w:t>
            </w:r>
            <w:bookmarkEnd w:id="10"/>
          </w:p>
        </w:tc>
        <w:tc>
          <w:tcPr>
            <w:tcW w:w="1313" w:type="dxa"/>
            <w:vAlign w:val="center"/>
          </w:tcPr>
          <w:p>
            <w:r>
              <w:rPr>
                <w:rFonts w:hint="eastAsia"/>
              </w:rPr>
              <w:t>电话.</w:t>
            </w:r>
          </w:p>
        </w:tc>
        <w:tc>
          <w:tcPr>
            <w:tcW w:w="2180" w:type="dxa"/>
            <w:vAlign w:val="center"/>
          </w:tcPr>
          <w:p>
            <w:bookmarkStart w:id="11" w:name="联系人电话"/>
            <w:r>
              <w:t>18797278991</w:t>
            </w:r>
            <w:bookmarkEnd w:id="11"/>
          </w:p>
        </w:tc>
        <w:tc>
          <w:tcPr>
            <w:tcW w:w="760" w:type="dxa"/>
            <w:vAlign w:val="center"/>
          </w:tcPr>
          <w:p>
            <w:r>
              <w:rPr>
                <w:rFonts w:hint="eastAsia"/>
              </w:rPr>
              <w:t>传真</w:t>
            </w:r>
          </w:p>
        </w:tc>
        <w:tc>
          <w:tcPr>
            <w:tcW w:w="2253"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王海丰</w:t>
            </w:r>
            <w:bookmarkEnd w:id="13"/>
          </w:p>
        </w:tc>
        <w:tc>
          <w:tcPr>
            <w:tcW w:w="1313" w:type="dxa"/>
            <w:vAlign w:val="center"/>
          </w:tcPr>
          <w:p>
            <w:r>
              <w:rPr>
                <w:rFonts w:hint="eastAsia"/>
              </w:rPr>
              <w:t>管理者代表</w:t>
            </w:r>
          </w:p>
        </w:tc>
        <w:tc>
          <w:tcPr>
            <w:tcW w:w="2180" w:type="dxa"/>
          </w:tcPr>
          <w:p>
            <w:pPr>
              <w:rPr>
                <w:rFonts w:hint="eastAsia" w:eastAsia="宋体"/>
                <w:lang w:eastAsia="zh-CN"/>
              </w:rPr>
            </w:pPr>
            <w:r>
              <w:rPr>
                <w:rFonts w:hint="eastAsia"/>
                <w:lang w:eastAsia="zh-CN"/>
              </w:rPr>
              <w:t>范增鑫</w:t>
            </w:r>
          </w:p>
        </w:tc>
        <w:tc>
          <w:tcPr>
            <w:tcW w:w="760" w:type="dxa"/>
          </w:tcPr>
          <w:p>
            <w:r>
              <w:rPr>
                <w:rFonts w:hint="eastAsia"/>
              </w:rPr>
              <w:t>邮箱</w:t>
            </w:r>
          </w:p>
        </w:tc>
        <w:tc>
          <w:tcPr>
            <w:tcW w:w="2253" w:type="dxa"/>
          </w:tcPr>
          <w:p>
            <w:pPr>
              <w:rPr>
                <w:rFonts w:hint="default" w:eastAsia="宋体"/>
                <w:lang w:val="en-US" w:eastAsia="zh-CN"/>
              </w:rPr>
            </w:pPr>
            <w:r>
              <w:rPr>
                <w:rFonts w:hint="eastAsia"/>
                <w:lang w:val="en-US" w:eastAsia="zh-CN"/>
              </w:rPr>
              <w:t>369006476@qq.com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受审核组织的班次：□单班</w:t>
            </w:r>
            <w:r>
              <w:rPr>
                <w:rFonts w:hint="eastAsia"/>
                <w:highlight w:val="none"/>
              </w:rPr>
              <w:sym w:font="Wingdings 2" w:char="0052"/>
            </w:r>
            <w:r>
              <w:rPr>
                <w:rFonts w:hint="eastAsia"/>
                <w:highlight w:val="none"/>
              </w:rPr>
              <w:t>双班□三班□其他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hAnsi="宋体" w:eastAsia="宋体" w:cs="宋体"/>
                <w:sz w:val="24"/>
                <w:szCs w:val="24"/>
              </w:rPr>
              <w:t xml:space="preserve">原矿— 破碎 — 皮带运送 — </w:t>
            </w:r>
            <w:r>
              <w:rPr>
                <w:rFonts w:hint="eastAsia" w:ascii="宋体" w:hAnsi="宋体" w:eastAsia="宋体" w:cs="宋体"/>
                <w:sz w:val="24"/>
                <w:szCs w:val="24"/>
                <w:lang w:eastAsia="zh-CN"/>
              </w:rPr>
              <w:t>半自磨、</w:t>
            </w:r>
            <w:r>
              <w:rPr>
                <w:rFonts w:hint="eastAsia" w:ascii="宋体" w:hAnsi="宋体" w:eastAsia="宋体" w:cs="宋体"/>
                <w:sz w:val="24"/>
                <w:szCs w:val="24"/>
              </w:rPr>
              <w:t>球磨 — 分级 — 搅拌 — 铅粗选 — 扫选 — 铅</w:t>
            </w:r>
            <w:r>
              <w:rPr>
                <w:rFonts w:hint="eastAsia" w:ascii="宋体" w:hAnsi="宋体" w:eastAsia="宋体" w:cs="宋体"/>
                <w:sz w:val="24"/>
                <w:szCs w:val="24"/>
                <w:lang w:eastAsia="zh-CN"/>
              </w:rPr>
              <w:t>一次</w:t>
            </w:r>
            <w:r>
              <w:rPr>
                <w:rFonts w:hint="eastAsia" w:ascii="宋体" w:hAnsi="宋体" w:eastAsia="宋体" w:cs="宋体"/>
                <w:sz w:val="24"/>
                <w:szCs w:val="24"/>
              </w:rPr>
              <w:t>精选  — 铅</w:t>
            </w:r>
            <w:r>
              <w:rPr>
                <w:rFonts w:hint="eastAsia" w:ascii="宋体" w:hAnsi="宋体" w:eastAsia="宋体" w:cs="宋体"/>
                <w:sz w:val="24"/>
                <w:szCs w:val="24"/>
                <w:lang w:eastAsia="zh-CN"/>
              </w:rPr>
              <w:t>二次</w:t>
            </w:r>
            <w:r>
              <w:rPr>
                <w:rFonts w:hint="eastAsia" w:ascii="宋体" w:hAnsi="宋体" w:eastAsia="宋体" w:cs="宋体"/>
                <w:sz w:val="24"/>
                <w:szCs w:val="24"/>
              </w:rPr>
              <w:t>精选— 锌硫混合</w:t>
            </w:r>
            <w:r>
              <w:rPr>
                <w:rFonts w:hint="eastAsia" w:ascii="宋体" w:hAnsi="宋体" w:eastAsia="宋体" w:cs="宋体"/>
                <w:sz w:val="24"/>
                <w:szCs w:val="24"/>
                <w:lang w:eastAsia="zh-CN"/>
              </w:rPr>
              <w:t>一次</w:t>
            </w:r>
            <w:r>
              <w:rPr>
                <w:rFonts w:hint="eastAsia" w:ascii="宋体" w:hAnsi="宋体" w:eastAsia="宋体" w:cs="宋体"/>
                <w:sz w:val="24"/>
                <w:szCs w:val="24"/>
              </w:rPr>
              <w:t>粗选 — 锌硫混合</w:t>
            </w:r>
            <w:r>
              <w:rPr>
                <w:rFonts w:hint="eastAsia" w:ascii="宋体" w:hAnsi="宋体" w:eastAsia="宋体" w:cs="宋体"/>
                <w:sz w:val="24"/>
                <w:szCs w:val="24"/>
                <w:lang w:eastAsia="zh-CN"/>
              </w:rPr>
              <w:t>二次</w:t>
            </w:r>
            <w:r>
              <w:rPr>
                <w:rFonts w:hint="eastAsia" w:ascii="宋体" w:hAnsi="宋体" w:eastAsia="宋体" w:cs="宋体"/>
                <w:sz w:val="24"/>
                <w:szCs w:val="24"/>
              </w:rPr>
              <w:t>粗选—锌硫混合</w:t>
            </w:r>
            <w:r>
              <w:rPr>
                <w:rFonts w:hint="eastAsia" w:ascii="宋体" w:hAnsi="宋体" w:eastAsia="宋体" w:cs="宋体"/>
                <w:sz w:val="24"/>
                <w:szCs w:val="24"/>
                <w:lang w:eastAsia="zh-CN"/>
              </w:rPr>
              <w:t>一次扫选</w:t>
            </w:r>
            <w:r>
              <w:rPr>
                <w:rFonts w:hint="eastAsia" w:ascii="宋体" w:hAnsi="宋体" w:eastAsia="宋体" w:cs="宋体"/>
                <w:sz w:val="24"/>
                <w:szCs w:val="24"/>
              </w:rPr>
              <w:t>—锌硫混合</w:t>
            </w:r>
            <w:r>
              <w:rPr>
                <w:rFonts w:hint="eastAsia" w:ascii="宋体" w:hAnsi="宋体" w:eastAsia="宋体" w:cs="宋体"/>
                <w:sz w:val="24"/>
                <w:szCs w:val="24"/>
                <w:lang w:eastAsia="zh-CN"/>
              </w:rPr>
              <w:t>二次扫选</w:t>
            </w:r>
            <w:r>
              <w:rPr>
                <w:rFonts w:hint="eastAsia" w:ascii="宋体" w:hAnsi="宋体" w:eastAsia="宋体" w:cs="宋体"/>
                <w:sz w:val="24"/>
                <w:szCs w:val="24"/>
              </w:rPr>
              <w:t>— 锌硫分离粗选 — 锌硫分离扫选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锌</w:t>
            </w:r>
            <w:r>
              <w:rPr>
                <w:rFonts w:hint="eastAsia" w:ascii="宋体" w:hAnsi="宋体" w:eastAsia="宋体" w:cs="宋体"/>
                <w:sz w:val="24"/>
                <w:szCs w:val="24"/>
                <w:lang w:eastAsia="zh-CN"/>
              </w:rPr>
              <w:t>一次</w:t>
            </w:r>
            <w:r>
              <w:rPr>
                <w:rFonts w:hint="eastAsia" w:ascii="宋体" w:hAnsi="宋体" w:eastAsia="宋体" w:cs="宋体"/>
                <w:sz w:val="24"/>
                <w:szCs w:val="24"/>
              </w:rPr>
              <w:t>精选  — 锌</w:t>
            </w:r>
            <w:r>
              <w:rPr>
                <w:rFonts w:hint="eastAsia" w:ascii="宋体" w:hAnsi="宋体" w:eastAsia="宋体" w:cs="宋体"/>
                <w:sz w:val="24"/>
                <w:szCs w:val="24"/>
                <w:lang w:eastAsia="zh-CN"/>
              </w:rPr>
              <w:t>二次</w:t>
            </w:r>
            <w:r>
              <w:rPr>
                <w:rFonts w:hint="eastAsia" w:ascii="宋体" w:hAnsi="宋体" w:eastAsia="宋体" w:cs="宋体"/>
                <w:sz w:val="24"/>
                <w:szCs w:val="24"/>
              </w:rPr>
              <w:t xml:space="preserve">精选— 沉淀 — 脱水— </w:t>
            </w:r>
            <w:r>
              <w:rPr>
                <w:rFonts w:hint="eastAsia" w:ascii="宋体" w:hAnsi="宋体" w:eastAsia="宋体" w:cs="宋体"/>
                <w:sz w:val="24"/>
                <w:szCs w:val="24"/>
                <w:lang w:eastAsia="zh-CN"/>
              </w:rPr>
              <w:t>成品</w:t>
            </w:r>
            <w:r>
              <w:rPr>
                <w:rFonts w:hint="eastAsia" w:ascii="宋体" w:hAnsi="宋体" w:eastAsia="宋体" w:cs="宋体"/>
                <w:sz w:val="24"/>
                <w:szCs w:val="24"/>
              </w:rPr>
              <w:t>。</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2022年10月17日 上午至2022年10月21日 上午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lang w:val="de-DE"/>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宋体"/>
                <w:b/>
                <w:color w:val="0000FF"/>
                <w:szCs w:val="21"/>
                <w:lang w:val="en-US" w:eastAsia="zh-CN"/>
              </w:rPr>
            </w:pPr>
            <w:r>
              <w:t>青海省西宁市五四大街52号</w:t>
            </w:r>
            <w:r>
              <w:rPr>
                <w:rFonts w:hint="eastAsia"/>
                <w:lang w:val="en-US" w:eastAsia="zh-CN"/>
              </w:rPr>
              <w:t>/</w:t>
            </w:r>
            <w:r>
              <w:rPr>
                <w:rFonts w:hint="eastAsia"/>
                <w:sz w:val="22"/>
                <w:szCs w:val="22"/>
                <w:lang w:val="en-US" w:eastAsia="zh-CN"/>
              </w:rPr>
              <w:t>青海省大柴旦行委锡铁山镇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lang w:val="de-DE"/>
              </w:rPr>
              <w:t>■</w:t>
            </w:r>
            <w:r>
              <w:rPr>
                <w:rFonts w:hint="eastAsia" w:ascii="宋体"/>
                <w:b/>
                <w:color w:val="0000FF"/>
                <w:szCs w:val="21"/>
              </w:rPr>
              <w:t>音频</w:t>
            </w:r>
            <w:r>
              <w:rPr>
                <w:rFonts w:hint="eastAsia"/>
                <w:lang w:val="de-DE"/>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lang w:val="de-DE"/>
              </w:rPr>
              <w:t>■</w:t>
            </w:r>
            <w:r>
              <w:rPr>
                <w:rFonts w:hint="eastAsia" w:ascii="宋体"/>
                <w:b/>
                <w:color w:val="0000FF"/>
                <w:szCs w:val="21"/>
              </w:rPr>
              <w:t>网络</w:t>
            </w:r>
            <w:r>
              <w:rPr>
                <w:rFonts w:hint="eastAsia"/>
                <w:lang w:val="de-DE"/>
              </w:rPr>
              <w:t>■</w:t>
            </w:r>
            <w:r>
              <w:rPr>
                <w:rFonts w:hint="eastAsia" w:ascii="宋体"/>
                <w:b/>
                <w:color w:val="0000FF"/>
                <w:szCs w:val="21"/>
              </w:rPr>
              <w:t>智能手机□手持设备</w:t>
            </w:r>
            <w:r>
              <w:rPr>
                <w:rFonts w:hint="eastAsia"/>
                <w:lang w:val="de-DE"/>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铅精矿和锌精矿的生产（不含采矿）</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02.06.02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lang w:val="de-DE"/>
              </w:rPr>
              <w:t>■</w:t>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4</w:t>
            </w:r>
            <w:r>
              <w:rPr>
                <w:rFonts w:hint="eastAsia"/>
              </w:rPr>
              <w:t>月</w:t>
            </w:r>
            <w:r>
              <w:rPr>
                <w:rFonts w:hint="eastAsia"/>
                <w:lang w:val="en-US" w:eastAsia="zh-CN"/>
              </w:rPr>
              <w:t>30</w:t>
            </w:r>
            <w:r>
              <w:rPr>
                <w:rFonts w:hint="eastAsia"/>
              </w:rPr>
              <w:t>日</w:t>
            </w:r>
          </w:p>
        </w:tc>
        <w:tc>
          <w:tcPr>
            <w:tcW w:w="1883" w:type="dxa"/>
            <w:vAlign w:val="center"/>
          </w:tcPr>
          <w:p>
            <w:r>
              <w:rPr>
                <w:rFonts w:hint="eastAsia"/>
              </w:rPr>
              <w:t>管理体系运行已超过3个月</w:t>
            </w:r>
          </w:p>
        </w:tc>
        <w:tc>
          <w:tcPr>
            <w:tcW w:w="3215" w:type="dxa"/>
            <w:vAlign w:val="center"/>
          </w:tcPr>
          <w:p>
            <w:r>
              <w:rPr>
                <w:rFonts w:hint="eastAsia"/>
                <w:lang w:val="de-DE"/>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ascii="Times New Roman" w:hAnsi="Times New Roman" w:eastAsia="宋体" w:cs="Times New Roman"/>
              </w:rPr>
              <w:t>2021年06月09日 上午至2021年06月11日 下午</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w:t>
            </w:r>
            <w:r>
              <w:rPr>
                <w:rFonts w:hint="eastAsia" w:ascii="Times New Roman" w:hAnsi="Times New Roman" w:eastAsia="宋体" w:cs="Times New Roman"/>
              </w:rPr>
              <w:t>至2022-10-14</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pStyle w:val="2"/>
              <w:rPr>
                <w:rFonts w:hint="eastAsia" w:ascii="宋体" w:hAnsi="宋体" w:cs="宋体"/>
                <w:color w:val="000000"/>
                <w:kern w:val="0"/>
                <w:szCs w:val="21"/>
                <w:highlight w:val="none"/>
              </w:rPr>
            </w:pPr>
            <w:r>
              <w:rPr>
                <w:rFonts w:hint="eastAsia" w:ascii="宋体" w:hAnsi="宋体" w:cs="宋体"/>
                <w:color w:val="000000"/>
                <w:kern w:val="0"/>
                <w:szCs w:val="21"/>
                <w:highlight w:val="none"/>
              </w:rPr>
              <w:t>西部矿业股份有限公司</w:t>
            </w:r>
          </w:p>
          <w:p>
            <w:pPr>
              <w:pStyle w:val="2"/>
              <w:rPr>
                <w:rFonts w:hint="eastAsia" w:ascii="宋体" w:hAnsi="宋体" w:cs="宋体"/>
                <w:color w:val="000000"/>
                <w:kern w:val="0"/>
                <w:szCs w:val="21"/>
                <w:highlight w:val="none"/>
                <w:lang w:val="de-DE" w:eastAsia="ja-JP"/>
              </w:rPr>
            </w:pPr>
            <w:r>
              <w:rPr>
                <w:rFonts w:hint="eastAsia" w:ascii="宋体" w:hAnsi="宋体" w:cs="宋体"/>
                <w:color w:val="000000"/>
                <w:kern w:val="0"/>
                <w:szCs w:val="21"/>
                <w:highlight w:val="none"/>
              </w:rPr>
              <w:t>青海省西宁市五四大街52号</w:t>
            </w:r>
          </w:p>
        </w:tc>
        <w:tc>
          <w:tcPr>
            <w:tcW w:w="2267" w:type="dxa"/>
          </w:tcPr>
          <w:p>
            <w:pPr>
              <w:rPr>
                <w:rFonts w:hint="eastAsia"/>
                <w:highlight w:val="none"/>
              </w:rPr>
            </w:pPr>
            <w:r>
              <w:rPr>
                <w:rFonts w:hint="eastAsia"/>
                <w:highlight w:val="none"/>
              </w:rPr>
              <w:t>青海省西宁市五四大街52号</w:t>
            </w:r>
          </w:p>
          <w:p>
            <w:pPr>
              <w:pStyle w:val="2"/>
              <w:rPr>
                <w:highlight w:val="none"/>
                <w:lang w:val="de-DE" w:eastAsia="ja-JP"/>
              </w:rPr>
            </w:pPr>
            <w:r>
              <w:rPr>
                <w:rFonts w:hint="eastAsia" w:ascii="宋体" w:hAnsi="宋体" w:cs="宋体"/>
                <w:color w:val="000000"/>
                <w:kern w:val="0"/>
                <w:szCs w:val="21"/>
                <w:highlight w:val="none"/>
                <w:lang w:val="en-US" w:eastAsia="zh-CN"/>
              </w:rPr>
              <w:t>青海省大柴旦行委锡铁山镇</w:t>
            </w:r>
          </w:p>
        </w:tc>
        <w:tc>
          <w:tcPr>
            <w:tcW w:w="571" w:type="dxa"/>
            <w:vAlign w:val="center"/>
          </w:tcPr>
          <w:p>
            <w:pPr>
              <w:rPr>
                <w:rFonts w:hint="default" w:eastAsia="宋体"/>
                <w:lang w:val="en-US" w:eastAsia="zh-CN"/>
              </w:rPr>
            </w:pPr>
            <w:r>
              <w:rPr>
                <w:rFonts w:hint="eastAsia"/>
                <w:lang w:val="en-US" w:eastAsia="zh-CN"/>
              </w:rPr>
              <w:t>325</w:t>
            </w:r>
          </w:p>
        </w:tc>
        <w:tc>
          <w:tcPr>
            <w:tcW w:w="2803" w:type="dxa"/>
            <w:vAlign w:val="center"/>
          </w:tcPr>
          <w:p>
            <w:pPr>
              <w:rPr>
                <w:lang w:eastAsia="ja-JP"/>
              </w:rPr>
            </w:pPr>
            <w:r>
              <w:rPr>
                <w:rFonts w:hint="eastAsia" w:ascii="宋体" w:hAnsi="宋体" w:eastAsia="宋体" w:cs="宋体"/>
                <w:i w:val="0"/>
                <w:caps w:val="0"/>
                <w:color w:val="000000"/>
                <w:spacing w:val="0"/>
                <w:sz w:val="21"/>
                <w:szCs w:val="21"/>
                <w:shd w:val="clear" w:color="auto" w:fill="FFFFFF"/>
              </w:rPr>
              <w:t>铅精矿和锌精矿的生产</w:t>
            </w:r>
            <w:r>
              <w:rPr>
                <w:rFonts w:hint="eastAsia" w:ascii="宋体" w:hAnsi="宋体" w:eastAsia="宋体" w:cs="宋体"/>
                <w:i w:val="0"/>
                <w:caps w:val="0"/>
                <w:color w:val="000000"/>
                <w:spacing w:val="0"/>
                <w:sz w:val="21"/>
                <w:szCs w:val="21"/>
                <w:shd w:val="clear" w:color="auto" w:fill="FFFFFF"/>
                <w:lang w:val="en-US" w:eastAsia="zh-CN"/>
              </w:rPr>
              <w:t>（不含采矿）</w:t>
            </w:r>
          </w:p>
        </w:tc>
        <w:tc>
          <w:tcPr>
            <w:tcW w:w="669" w:type="dxa"/>
            <w:vAlign w:val="center"/>
          </w:tcPr>
          <w:p>
            <w:pPr>
              <w:rPr>
                <w:lang w:eastAsia="ja-JP"/>
              </w:rPr>
            </w:pPr>
            <w:bookmarkStart w:id="30" w:name="审核依据"/>
            <w:r>
              <w:rPr>
                <w:rFonts w:ascii="宋体" w:hAnsi="宋体" w:cs="宋体"/>
                <w:color w:val="000000"/>
                <w:kern w:val="0"/>
                <w:szCs w:val="21"/>
              </w:rPr>
              <w:t>GB/T19001-2016/ISO9001:2015</w:t>
            </w:r>
            <w:bookmarkEnd w:id="30"/>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val="de-DE"/>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安涛</w:t>
            </w:r>
          </w:p>
        </w:tc>
        <w:tc>
          <w:tcPr>
            <w:tcW w:w="1089" w:type="dxa"/>
            <w:vAlign w:val="center"/>
          </w:tcPr>
          <w:p>
            <w:r>
              <w:t>组长</w:t>
            </w:r>
          </w:p>
        </w:tc>
        <w:tc>
          <w:tcPr>
            <w:tcW w:w="711" w:type="dxa"/>
            <w:vAlign w:val="center"/>
          </w:tcPr>
          <w:p>
            <w:r>
              <w:t>男</w:t>
            </w:r>
          </w:p>
        </w:tc>
        <w:tc>
          <w:tcPr>
            <w:tcW w:w="3870" w:type="dxa"/>
            <w:vAlign w:val="center"/>
          </w:tcPr>
          <w:p>
            <w:r>
              <w:t>2020-N1QMS-2211720</w:t>
            </w:r>
          </w:p>
        </w:tc>
        <w:tc>
          <w:tcPr>
            <w:tcW w:w="2179" w:type="dxa"/>
            <w:vAlign w:val="center"/>
          </w:tcPr>
          <w:p>
            <w:r>
              <w:t>02.06.02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eastAsia="zh-CN"/>
              </w:rPr>
            </w:pPr>
            <w:r>
              <w:rPr>
                <w:rFonts w:hint="eastAsia"/>
                <w:lang w:eastAsia="zh-CN"/>
              </w:rPr>
              <w:t>总经理：贺三章，管代：范增鑫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val="de-DE"/>
        </w:rPr>
        <w:t>■</w:t>
      </w:r>
      <w:r>
        <w:rPr>
          <w:rFonts w:hint="eastAsia"/>
        </w:rPr>
        <w:t>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val="de-DE"/>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已完成整改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val="de-DE"/>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val="de-DE"/>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val="de-DE"/>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val="de-DE"/>
              </w:rPr>
              <w:t>■</w:t>
            </w:r>
            <w:r>
              <w:rPr>
                <w:rFonts w:hint="eastAsia"/>
              </w:rPr>
              <w:t>在完成纠正措施后推荐认证注册(□初审</w:t>
            </w:r>
            <w:r>
              <w:rPr>
                <w:rFonts w:hint="eastAsia"/>
                <w:lang w:val="de-DE"/>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lang w:val="de-DE"/>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lang w:val="de-DE"/>
              </w:rPr>
              <w:t>■</w:t>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lang w:val="de-DE"/>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147955</wp:posOffset>
                  </wp:positionH>
                  <wp:positionV relativeFrom="paragraph">
                    <wp:posOffset>8890</wp:posOffset>
                  </wp:positionV>
                  <wp:extent cx="694690" cy="327025"/>
                  <wp:effectExtent l="0" t="0" r="0" b="8890"/>
                  <wp:wrapNone/>
                  <wp:docPr id="1" name="图片 1" descr="安涛签名透明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安涛签名透明1"/>
                          <pic:cNvPicPr>
                            <a:picLocks noChangeAspect="1"/>
                          </pic:cNvPicPr>
                        </pic:nvPicPr>
                        <pic:blipFill>
                          <a:blip r:embed="rId6"/>
                          <a:stretch>
                            <a:fillRect/>
                          </a:stretch>
                        </pic:blipFill>
                        <pic:spPr>
                          <a:xfrm>
                            <a:off x="0" y="0"/>
                            <a:ext cx="694690" cy="32702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2022.10.21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410" w:hRule="atLeast"/>
        </w:trPr>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val="de-DE"/>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446" w:hRule="atLeast"/>
        </w:trPr>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pPr>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pPr>
                  <w:r>
                    <w:rPr>
                      <w:rFonts w:hint="eastAsia"/>
                    </w:rPr>
                    <w:t xml:space="preserve">■价值观  ■文化  ■知识 ■绩效 ■工艺 ■设备 ■人员能力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pPr>
            <w:r>
              <w:rPr>
                <w:rFonts w:hint="eastAsia"/>
              </w:rPr>
              <w:t>影响运行的重要</w:t>
            </w:r>
            <w:r>
              <w:rPr>
                <w:rFonts w:hint="eastAsia"/>
                <w:lang w:val="en-GB"/>
              </w:rPr>
              <w:t>过程如下</w:t>
            </w:r>
            <w:r>
              <w:rPr>
                <w:rFonts w:hint="eastAsia"/>
              </w:rPr>
              <w:t>:</w:t>
            </w:r>
            <w:r>
              <w:rPr>
                <w:rFonts w:hint="eastAsia"/>
                <w:lang w:val="en-GB"/>
              </w:rPr>
              <w:t xml:space="preserve"> （</w:t>
            </w:r>
            <w:r>
              <w:rPr>
                <w:rFonts w:hint="eastAsia"/>
              </w:rPr>
              <w:t>不必全选</w:t>
            </w:r>
            <w:r>
              <w:rPr>
                <w:rFonts w:hint="eastAsia"/>
                <w:lang w:val="en-GB"/>
              </w:rPr>
              <w:t>）</w:t>
            </w:r>
          </w:p>
          <w:p>
            <w:pPr>
              <w:shd w:val="clear" w:color="auto" w:fill="C7DAF1" w:themeFill="text2" w:themeFillTint="32"/>
              <w:spacing w:before="40" w:after="40"/>
            </w:pPr>
            <w:r>
              <w:rPr>
                <w:rFonts w:hint="eastAsia"/>
              </w:rPr>
              <w:t xml:space="preserve">□市场拓展 ■设备能力 ■人员能力 ■检测水平■合同评审 □知识保密 </w:t>
            </w:r>
          </w:p>
          <w:p>
            <w:pPr>
              <w:shd w:val="clear" w:color="auto" w:fill="C7DAF1" w:themeFill="text2" w:themeFillTint="32"/>
              <w:spacing w:before="40" w:after="40"/>
            </w:pPr>
            <w:r>
              <w:rPr>
                <w:rFonts w:hint="eastAsia"/>
              </w:rPr>
              <w:t>□新产品设计开发 ■原材料采购 ■外部供方控制 ■生产/服务控制 □其他</w:t>
            </w:r>
          </w:p>
          <w:p>
            <w:pPr>
              <w:shd w:val="clear" w:color="auto" w:fill="C7DAF1" w:themeFill="text2" w:themeFillTint="32"/>
              <w:spacing w:before="40" w:after="40"/>
            </w:pPr>
            <w:r>
              <w:rPr>
                <w:rFonts w:hint="eastAsia"/>
              </w:rPr>
              <w:t>影响体系运行的外包</w:t>
            </w:r>
            <w:r>
              <w:rPr>
                <w:rFonts w:hint="eastAsia"/>
                <w:lang w:val="en-GB"/>
              </w:rPr>
              <w:t>过程如下</w:t>
            </w:r>
            <w:r>
              <w:rPr>
                <w:rFonts w:hint="eastAsia"/>
              </w:rPr>
              <w:t>:</w:t>
            </w:r>
            <w:r>
              <w:rPr>
                <w:rFonts w:hint="eastAsia"/>
                <w:lang w:val="en-GB"/>
              </w:rPr>
              <w:t xml:space="preserve"> （</w:t>
            </w:r>
            <w:r>
              <w:rPr>
                <w:rFonts w:hint="eastAsia"/>
              </w:rPr>
              <w:t>根据实际情况选择</w:t>
            </w:r>
            <w:r>
              <w:rPr>
                <w:rFonts w:hint="eastAsia"/>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rPr>
                <w:rFonts w:hint="eastAsia"/>
              </w:rPr>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 ■建立机制■法规宣传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最高管理者制定了文件化的管理体系方针：</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精耕细作回报股东、客户至上树立品牌、持续改进矿业报国</w:t>
            </w:r>
          </w:p>
          <w:p>
            <w:pPr>
              <w:pStyle w:val="2"/>
              <w:rPr>
                <w:rFonts w:hint="eastAsia"/>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ascii="宋体" w:hAnsi="宋体" w:cs="宋体"/>
                <w:bCs/>
                <w:sz w:val="21"/>
                <w:szCs w:val="21"/>
              </w:rPr>
              <w:t>质量工艺技术管理部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5596"/>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shd w:val="clear" w:color="auto" w:fill="C7DAF1" w:themeFill="text2" w:themeFillTint="32"/>
                  </w:pPr>
                  <w:r>
                    <w:rPr>
                      <w:rFonts w:hint="eastAsia"/>
                    </w:rPr>
                    <w:t>主要的风险或机遇描述</w:t>
                  </w:r>
                </w:p>
              </w:tc>
              <w:tc>
                <w:tcPr>
                  <w:tcW w:w="5596" w:type="dxa"/>
                </w:tcPr>
                <w:p>
                  <w:pPr>
                    <w:shd w:val="clear" w:color="auto" w:fill="C7DAF1" w:themeFill="text2" w:themeFillTint="32"/>
                  </w:pPr>
                  <w:r>
                    <w:rPr>
                      <w:rFonts w:hint="eastAsia"/>
                    </w:rPr>
                    <w:t>应对措施</w:t>
                  </w:r>
                </w:p>
              </w:tc>
              <w:tc>
                <w:tcPr>
                  <w:tcW w:w="1415"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订单评审过程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1、对客户的要求</w:t>
                  </w:r>
                  <w:r>
                    <w:rPr>
                      <w:rFonts w:hint="eastAsia" w:ascii="宋体" w:hAnsi="宋体" w:cs="宋体"/>
                      <w:color w:val="000000"/>
                      <w:kern w:val="0"/>
                      <w:sz w:val="20"/>
                      <w:szCs w:val="20"/>
                      <w:lang w:eastAsia="zh-CN"/>
                    </w:rPr>
                    <w:t>供销部</w:t>
                  </w:r>
                  <w:r>
                    <w:rPr>
                      <w:rFonts w:hint="eastAsia" w:ascii="宋体" w:hAnsi="宋体" w:cs="宋体"/>
                      <w:color w:val="000000"/>
                      <w:kern w:val="0"/>
                      <w:sz w:val="20"/>
                      <w:szCs w:val="20"/>
                    </w:rPr>
                    <w:t>组织相关部门进行识别；</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2、在确定与客户签署合同前落实合同评审事宜。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w:t>
                  </w:r>
                  <w:r>
                    <w:rPr>
                      <w:rFonts w:hint="eastAsia" w:ascii="宋体" w:hAnsi="宋体" w:eastAsia="宋体" w:cs="宋体"/>
                      <w:color w:val="000000"/>
                      <w:kern w:val="0"/>
                      <w:sz w:val="20"/>
                      <w:szCs w:val="20"/>
                    </w:rPr>
                    <w:t>：《顾客满意度控制程序》</w:t>
                  </w:r>
                </w:p>
              </w:tc>
              <w:tc>
                <w:tcPr>
                  <w:tcW w:w="141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生产过程</w:t>
                  </w:r>
                </w:p>
              </w:tc>
              <w:tc>
                <w:tcPr>
                  <w:tcW w:w="5596" w:type="dxa"/>
                  <w:vAlign w:val="top"/>
                </w:tcPr>
                <w:p>
                  <w:pPr>
                    <w:numPr>
                      <w:ilvl w:val="0"/>
                      <w:numId w:val="2"/>
                    </w:numPr>
                    <w:shd w:val="clear" w:color="auto" w:fill="C7DAF1" w:themeFill="text2" w:themeFillTint="32"/>
                    <w:rPr>
                      <w:rFonts w:hint="eastAsia" w:ascii="宋体" w:hAnsi="宋体" w:cs="宋体"/>
                      <w:color w:val="000000"/>
                      <w:kern w:val="0"/>
                      <w:sz w:val="20"/>
                      <w:szCs w:val="20"/>
                    </w:rPr>
                  </w:pPr>
                  <w:r>
                    <w:rPr>
                      <w:rFonts w:hint="eastAsia" w:ascii="宋体" w:hAnsi="宋体" w:cs="宋体"/>
                      <w:color w:val="000000"/>
                      <w:kern w:val="0"/>
                      <w:sz w:val="20"/>
                      <w:szCs w:val="20"/>
                    </w:rPr>
                    <w:t>合理安排生产计划；</w:t>
                  </w:r>
                </w:p>
                <w:p>
                  <w:pPr>
                    <w:numPr>
                      <w:ilvl w:val="0"/>
                      <w:numId w:val="0"/>
                    </w:num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2、制定安全库存；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3、不良率指标监控，及时采用纠正预防措施；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4、产品执行批次和标识管理；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相关文件：《生产和服务</w:t>
                  </w:r>
                  <w:r>
                    <w:rPr>
                      <w:rFonts w:hint="eastAsia" w:ascii="宋体" w:hAnsi="宋体" w:cs="宋体"/>
                      <w:color w:val="000000"/>
                      <w:kern w:val="0"/>
                      <w:sz w:val="20"/>
                      <w:szCs w:val="20"/>
                      <w:lang w:eastAsia="zh-CN"/>
                    </w:rPr>
                    <w:t>管理</w:t>
                  </w:r>
                  <w:r>
                    <w:rPr>
                      <w:rFonts w:hint="eastAsia" w:ascii="宋体" w:hAnsi="宋体" w:cs="宋体"/>
                      <w:color w:val="000000"/>
                      <w:kern w:val="0"/>
                      <w:sz w:val="20"/>
                      <w:szCs w:val="20"/>
                    </w:rPr>
                    <w:t>控制程序》；《不合格品控制程序》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交付和顾客反馈过程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1、安全库存；生产计划每日统计达成；产品，成品出货检验；</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2、客户投诉台账，</w:t>
                  </w:r>
                  <w:r>
                    <w:rPr>
                      <w:rFonts w:hint="eastAsia" w:ascii="宋体" w:hAnsi="宋体" w:cs="宋体"/>
                      <w:color w:val="000000"/>
                      <w:kern w:val="0"/>
                      <w:sz w:val="20"/>
                      <w:szCs w:val="20"/>
                      <w:lang w:val="en-US" w:eastAsia="zh-CN"/>
                    </w:rPr>
                    <w:t>供销部</w:t>
                  </w:r>
                  <w:r>
                    <w:rPr>
                      <w:rFonts w:hint="eastAsia" w:ascii="宋体" w:hAnsi="宋体" w:cs="宋体"/>
                      <w:color w:val="000000"/>
                      <w:kern w:val="0"/>
                      <w:sz w:val="20"/>
                      <w:szCs w:val="20"/>
                    </w:rPr>
                    <w:t>专人负责处理并及时回复客户，保存相应证据；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3、顾客满意度设立监控指标，每年至少调查分析一次；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相关文件：《顾客满意程度测量控制程序》、《纠正措施控制程序》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管理评审过程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1、管理评审计划的输入项要分配到相应的责任部门，总经理批准进行确认；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2、管理评审输出改进项，下一次管理当作输入项，总经理进行评审确认。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相关文件：《管理评审控制程序》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采购过程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1、开发建立备用供方以及供方淘汰制度；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2、供应商业绩定期评价，对供方进行考核和扣款等；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3、建立原辅材料安全库存；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相关文件：《采购控制程序》</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检验过程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w:t>
                  </w:r>
                  <w:r>
                    <w:rPr>
                      <w:rFonts w:hint="eastAsia" w:ascii="宋体" w:hAnsi="宋体" w:cs="宋体"/>
                      <w:color w:val="000000"/>
                      <w:kern w:val="0"/>
                      <w:sz w:val="20"/>
                      <w:szCs w:val="20"/>
                      <w:lang w:eastAsia="zh-CN"/>
                    </w:rPr>
                    <w:t>化验规程</w:t>
                  </w:r>
                  <w:r>
                    <w:rPr>
                      <w:rFonts w:hint="eastAsia" w:ascii="宋体" w:hAnsi="宋体" w:cs="宋体"/>
                      <w:color w:val="000000"/>
                      <w:kern w:val="0"/>
                      <w:sz w:val="20"/>
                      <w:szCs w:val="20"/>
                    </w:rPr>
                    <w:t>，规定抽样方案和接收、判退规定；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2、工艺文件规定</w:t>
                  </w:r>
                  <w:r>
                    <w:rPr>
                      <w:rFonts w:hint="eastAsia" w:ascii="宋体" w:hAnsi="宋体" w:cs="宋体"/>
                      <w:color w:val="000000"/>
                      <w:kern w:val="0"/>
                      <w:sz w:val="20"/>
                      <w:szCs w:val="20"/>
                      <w:lang w:val="en-US" w:eastAsia="zh-CN"/>
                    </w:rPr>
                    <w:t>抽样点、时间</w:t>
                  </w:r>
                  <w:r>
                    <w:rPr>
                      <w:rFonts w:hint="eastAsia" w:ascii="宋体" w:hAnsi="宋体" w:cs="宋体"/>
                      <w:color w:val="000000"/>
                      <w:kern w:val="0"/>
                      <w:sz w:val="20"/>
                      <w:szCs w:val="20"/>
                    </w:rPr>
                    <w:t>检验制度</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3、成品检验指导书，规定抽样方案和接收、判退规定；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w:t>
                  </w:r>
                  <w:r>
                    <w:rPr>
                      <w:rFonts w:hint="eastAsia" w:ascii="宋体" w:hAnsi="宋体" w:eastAsia="宋体" w:cs="宋体"/>
                      <w:color w:val="000000"/>
                      <w:kern w:val="0"/>
                      <w:sz w:val="20"/>
                      <w:szCs w:val="20"/>
                    </w:rPr>
                    <w:t>件：《产品检验和试验控制程序》</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设备管理过程</w:t>
                  </w:r>
                </w:p>
              </w:tc>
              <w:tc>
                <w:tcPr>
                  <w:tcW w:w="5596" w:type="dxa"/>
                  <w:vAlign w:val="top"/>
                </w:tcPr>
                <w:p>
                  <w:pPr>
                    <w:shd w:val="clear" w:color="auto" w:fill="C7DAF1" w:themeFill="text2" w:themeFillTint="32"/>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1、设备建立日常保养制度、定期保养计划；</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2、设备产能分析；</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3、设备建立易损件备品备件清单；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相关文件：《基础设施控制程序》</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全国市场及基础建设需求增大带来机遇</w:t>
                  </w:r>
                </w:p>
              </w:tc>
              <w:tc>
                <w:tcPr>
                  <w:tcW w:w="5596" w:type="dxa"/>
                  <w:vAlign w:val="top"/>
                </w:tcPr>
                <w:p>
                  <w:pPr>
                    <w:shd w:val="clear" w:color="auto" w:fill="C7DAF1" w:themeFill="text2" w:themeFillTint="32"/>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保证生产能力、提高业务人员水平</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组织建立了与方针一致的文件化的管理目标。为实现总质量目标而建立的各层级质量目标具体、有针对性、可测量并且可实现。</w:t>
            </w:r>
          </w:p>
          <w:p>
            <w:pPr>
              <w:pStyle w:val="2"/>
              <w:rPr>
                <w:rFonts w:hint="eastAsia"/>
              </w:rPr>
            </w:pPr>
          </w:p>
          <w:p>
            <w:pPr>
              <w:pStyle w:val="2"/>
              <w:rPr>
                <w:rFonts w:hint="eastAsia"/>
              </w:rPr>
            </w:pPr>
          </w:p>
          <w:p>
            <w:pPr>
              <w:pStyle w:val="2"/>
              <w:rPr>
                <w:rFonts w:hint="eastAsia"/>
              </w:rPr>
            </w:pPr>
          </w:p>
          <w:p>
            <w:pPr>
              <w:shd w:val="clear" w:color="auto" w:fill="C7DAF1" w:themeFill="text2" w:themeFillTint="32"/>
              <w:rPr>
                <w:rFonts w:hint="eastAsia"/>
              </w:rPr>
            </w:pP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eastAsia="宋体" w:cs="宋体"/>
                      <w:sz w:val="24"/>
                      <w:szCs w:val="24"/>
                    </w:rPr>
                    <w:t xml:space="preserve">产品一次交验合格率≥97%；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w:t>
                  </w:r>
                </w:p>
              </w:tc>
              <w:tc>
                <w:tcPr>
                  <w:tcW w:w="3136" w:type="dxa"/>
                  <w:shd w:val="clear" w:color="auto" w:fill="auto"/>
                  <w:vAlign w:val="center"/>
                </w:tcPr>
                <w:p>
                  <w:pPr>
                    <w:shd w:val="clear" w:color="auto" w:fill="C7DAF1" w:themeFill="text2" w:themeFillTint="32"/>
                    <w:rPr>
                      <w:rFonts w:ascii="宋体" w:hAnsi="宋体"/>
                    </w:rPr>
                  </w:pPr>
                  <w:r>
                    <w:rPr>
                      <w:rFonts w:hint="eastAsia" w:eastAsia="宋体"/>
                    </w:rPr>
                    <w:t>成品一次交检合格率=（成品一次交检合格批数/交检总批数）×100%</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cs="宋体"/>
                      <w:sz w:val="21"/>
                      <w:szCs w:val="21"/>
                    </w:rPr>
                    <w:t>质量工艺技术管理部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eastAsia="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eastAsia="宋体" w:cs="宋体"/>
                      <w:sz w:val="24"/>
                      <w:szCs w:val="24"/>
                    </w:rPr>
                    <w:t xml:space="preserve">铅精矿一级品率达到97%以上    </w:t>
                  </w:r>
                  <w:r>
                    <w:rPr>
                      <w:rFonts w:hint="eastAsia" w:ascii="宋体" w:hAnsi="宋体" w:cs="宋体"/>
                      <w:sz w:val="24"/>
                      <w:szCs w:val="24"/>
                      <w:lang w:val="en-US" w:eastAsia="zh-CN"/>
                    </w:rPr>
                    <w:t xml:space="preserve"> </w:t>
                  </w:r>
                </w:p>
              </w:tc>
              <w:tc>
                <w:tcPr>
                  <w:tcW w:w="3136" w:type="dxa"/>
                  <w:shd w:val="clear" w:color="auto" w:fill="auto"/>
                  <w:vAlign w:val="center"/>
                </w:tcPr>
                <w:p>
                  <w:pPr>
                    <w:shd w:val="clear" w:color="auto" w:fill="C7DAF1" w:themeFill="text2" w:themeFillTint="32"/>
                    <w:rPr>
                      <w:rFonts w:hint="eastAsia" w:ascii="宋体" w:hAnsi="宋体" w:eastAsia="宋体"/>
                      <w:lang w:eastAsia="zh-CN"/>
                    </w:rPr>
                  </w:pPr>
                  <w:r>
                    <w:rPr>
                      <w:rFonts w:hint="eastAsia" w:ascii="宋体" w:hAnsi="宋体"/>
                      <w:lang w:eastAsia="zh-CN"/>
                    </w:rPr>
                    <w:t>化验结论</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cs="宋体"/>
                      <w:sz w:val="21"/>
                      <w:szCs w:val="21"/>
                    </w:rPr>
                    <w:t>质量工艺技术管理部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eastAsia="宋体" w:cs="宋体"/>
                      <w:sz w:val="24"/>
                      <w:szCs w:val="24"/>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eastAsia="宋体" w:cs="宋体"/>
                      <w:sz w:val="24"/>
                      <w:szCs w:val="24"/>
                    </w:rPr>
                    <w:t xml:space="preserve">锌精矿三级品率达到98%以上；  </w:t>
                  </w:r>
                  <w:r>
                    <w:rPr>
                      <w:rFonts w:hint="eastAsia" w:ascii="宋体" w:hAnsi="宋体" w:cs="宋体"/>
                      <w:sz w:val="24"/>
                      <w:szCs w:val="24"/>
                      <w:lang w:val="en-US" w:eastAsia="zh-CN"/>
                    </w:rPr>
                    <w:t xml:space="preserve"> </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lang w:eastAsia="zh-CN"/>
                    </w:rPr>
                    <w:t>化验结论</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cs="宋体"/>
                      <w:sz w:val="21"/>
                      <w:szCs w:val="21"/>
                    </w:rPr>
                    <w:t>质量工艺技术管理部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eastAsia="宋体" w:cs="宋体"/>
                      <w:sz w:val="24"/>
                      <w:szCs w:val="24"/>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eastAsia="宋体" w:cs="宋体"/>
                      <w:sz w:val="24"/>
                      <w:szCs w:val="24"/>
                    </w:rPr>
                    <w:t xml:space="preserve">顾客满意率≥96%。           </w:t>
                  </w:r>
                  <w:r>
                    <w:rPr>
                      <w:rFonts w:hint="eastAsia" w:ascii="宋体" w:hAnsi="宋体" w:cs="宋体"/>
                      <w:sz w:val="24"/>
                      <w:szCs w:val="24"/>
                      <w:lang w:val="en-US" w:eastAsia="zh-CN"/>
                    </w:rPr>
                    <w:t xml:space="preserve">  </w:t>
                  </w:r>
                </w:p>
              </w:tc>
              <w:tc>
                <w:tcPr>
                  <w:tcW w:w="3136" w:type="dxa"/>
                  <w:shd w:val="clear" w:color="auto" w:fill="auto"/>
                  <w:vAlign w:val="center"/>
                </w:tcPr>
                <w:p>
                  <w:pPr>
                    <w:shd w:val="clear" w:color="auto" w:fill="C7DAF1" w:themeFill="text2" w:themeFillTint="32"/>
                    <w:rPr>
                      <w:rFonts w:hint="eastAsia" w:ascii="宋体" w:hAnsi="宋体" w:eastAsia="宋体"/>
                      <w:lang w:eastAsia="zh-CN"/>
                    </w:rPr>
                  </w:pPr>
                  <w:r>
                    <w:rPr>
                      <w:rFonts w:hint="eastAsia" w:ascii="宋体" w:hAnsi="宋体"/>
                      <w:lang w:eastAsia="zh-CN"/>
                    </w:rPr>
                    <w:t>供销部统计</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lang w:eastAsia="zh-CN"/>
                    </w:rPr>
                    <w:t>供销部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cs="宋体"/>
                      <w:sz w:val="24"/>
                      <w:szCs w:val="24"/>
                      <w:lang w:val="en-US" w:eastAsia="zh-CN"/>
                    </w:rPr>
                    <w:t>99.4</w:t>
                  </w:r>
                  <w:r>
                    <w:rPr>
                      <w:rFonts w:hint="eastAsia" w:ascii="宋体" w:hAnsi="宋体" w:eastAsia="宋体" w:cs="宋体"/>
                      <w:sz w:val="24"/>
                      <w:szCs w:val="24"/>
                    </w:rPr>
                    <w:t>%</w:t>
                  </w:r>
                </w:p>
              </w:tc>
            </w:tr>
          </w:tbl>
          <w:p>
            <w:pPr>
              <w:shd w:val="clear" w:color="auto" w:fill="C7DAF1" w:themeFill="text2" w:themeFillTint="32"/>
            </w:pPr>
            <w:r>
              <w:rPr>
                <w:rFonts w:hint="eastAsia" w:ascii="宋体" w:hAnsi="宋体"/>
                <w:b/>
                <w:bCs/>
                <w:sz w:val="20"/>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w:t>
            </w:r>
            <w:r>
              <w:rPr>
                <w:rFonts w:hint="eastAsia" w:ascii="宋体" w:hAnsi="宋体"/>
                <w:b/>
                <w:bCs/>
                <w:sz w:val="20"/>
              </w:rPr>
              <w:t>■</w:t>
            </w:r>
            <w:r>
              <w:rPr>
                <w:rFonts w:hint="eastAsia"/>
              </w:rPr>
              <w:t>主要原材料</w:t>
            </w:r>
            <w:r>
              <w:rPr>
                <w:rFonts w:hint="eastAsia" w:ascii="宋体" w:hAnsi="宋体"/>
                <w:b/>
                <w:bCs/>
                <w:sz w:val="20"/>
              </w:rPr>
              <w:t>■</w:t>
            </w:r>
            <w:r>
              <w:rPr>
                <w:rFonts w:hint="eastAsia"/>
              </w:rPr>
              <w:t>关键人员</w:t>
            </w:r>
            <w:r>
              <w:rPr>
                <w:rFonts w:hint="eastAsia" w:ascii="宋体" w:hAnsi="宋体"/>
                <w:b/>
                <w:bCs/>
                <w:sz w:val="20"/>
              </w:rPr>
              <w:t>■</w:t>
            </w:r>
            <w:r>
              <w:rPr>
                <w:rFonts w:hint="eastAsia"/>
              </w:rPr>
              <w:t>生产工艺/服务流程</w:t>
            </w:r>
          </w:p>
          <w:p>
            <w:pPr>
              <w:shd w:val="clear" w:color="auto" w:fill="C7DAF1" w:themeFill="text2" w:themeFillTint="32"/>
              <w:spacing w:before="40" w:after="40"/>
            </w:pPr>
            <w:r>
              <w:rPr>
                <w:rFonts w:hint="eastAsia" w:ascii="宋体" w:hAnsi="宋体"/>
                <w:b/>
                <w:bCs/>
                <w:sz w:val="20"/>
              </w:rPr>
              <w:t>■</w:t>
            </w:r>
            <w:r>
              <w:rPr>
                <w:rFonts w:hint="eastAsia"/>
              </w:rPr>
              <w:t>主要设备设施</w:t>
            </w:r>
            <w:r>
              <w:rPr>
                <w:rFonts w:hint="eastAsia" w:ascii="宋体" w:hAnsi="宋体"/>
                <w:b/>
                <w:bCs/>
                <w:sz w:val="20"/>
              </w:rPr>
              <w:t>■</w:t>
            </w:r>
            <w:r>
              <w:rPr>
                <w:rFonts w:hint="eastAsia"/>
              </w:rPr>
              <w:t>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宋体" w:hAnsi="宋体"/>
                <w:b/>
                <w:bCs/>
                <w:sz w:val="20"/>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宋体" w:hAnsi="宋体"/>
                <w:b/>
                <w:bCs/>
                <w:sz w:val="20"/>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w:t>
            </w:r>
            <w:r>
              <w:rPr>
                <w:rFonts w:hint="eastAsia"/>
                <w:highlight w:val="none"/>
              </w:rPr>
              <w:t>面积平方米；生</w:t>
            </w:r>
            <w:r>
              <w:rPr>
                <w:rFonts w:hint="eastAsia"/>
              </w:rPr>
              <w:t>产车间</w:t>
            </w:r>
            <w:r>
              <w:rPr>
                <w:rFonts w:hint="eastAsia"/>
                <w:lang w:val="en-US" w:eastAsia="zh-CN"/>
              </w:rPr>
              <w:t>2</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ascii="宋体" w:hAnsi="宋体" w:cs="宋体"/>
                <w:bCs/>
                <w:color w:val="auto"/>
                <w:sz w:val="21"/>
                <w:szCs w:val="21"/>
              </w:rPr>
              <w:t>颚式破碎机、半自磨机、球磨机、旋流器、渣浆泵、泡沫泵、浮选机、陶瓷过滤机、1#-5#皮带运输</w:t>
            </w:r>
            <w:bookmarkStart w:id="34" w:name="_GoBack"/>
            <w:bookmarkEnd w:id="34"/>
            <w:r>
              <w:rPr>
                <w:rFonts w:hint="eastAsia" w:ascii="宋体" w:hAnsi="宋体" w:cs="宋体"/>
                <w:bCs/>
                <w:color w:val="auto"/>
                <w:sz w:val="21"/>
                <w:szCs w:val="21"/>
              </w:rPr>
              <w:t>机、鼓风机、浓密机等</w:t>
            </w:r>
          </w:p>
          <w:p>
            <w:pPr>
              <w:shd w:val="clear" w:color="auto" w:fill="C7DAF1" w:themeFill="text2" w:themeFillTint="32"/>
            </w:pPr>
            <w:r>
              <w:rPr>
                <w:rFonts w:hint="eastAsia"/>
              </w:rPr>
              <w:t>特种设备：</w:t>
            </w:r>
            <w:r>
              <w:rPr>
                <w:rFonts w:hint="eastAsia" w:ascii="宋体" w:hAnsi="宋体"/>
                <w:b/>
                <w:bCs/>
                <w:sz w:val="20"/>
              </w:rPr>
              <w:t>■</w:t>
            </w:r>
            <w:r>
              <w:rPr>
                <w:rFonts w:hint="eastAsia"/>
              </w:rPr>
              <w:t>叉车</w:t>
            </w:r>
            <w:r>
              <w:rPr>
                <w:rFonts w:hint="eastAsia" w:ascii="宋体" w:hAnsi="宋体"/>
                <w:b/>
                <w:bCs/>
                <w:sz w:val="20"/>
              </w:rPr>
              <w:t>■</w:t>
            </w:r>
            <w:r>
              <w:rPr>
                <w:rFonts w:hint="eastAsia"/>
              </w:rPr>
              <w:t>行车</w:t>
            </w:r>
            <w:r>
              <w:rPr>
                <w:rFonts w:hint="eastAsia" w:ascii="宋体" w:hAnsi="宋体"/>
                <w:b/>
                <w:bCs/>
                <w:sz w:val="20"/>
              </w:rPr>
              <w:t>■</w:t>
            </w:r>
            <w:r>
              <w:rPr>
                <w:rFonts w:hint="eastAsia"/>
              </w:rPr>
              <w:t>锅炉</w:t>
            </w:r>
            <w:r>
              <w:rPr>
                <w:rFonts w:hint="eastAsia" w:ascii="Wingdings" w:hAnsi="Wingdings"/>
              </w:rPr>
              <w:t>¨</w:t>
            </w:r>
            <w:r>
              <w:rPr>
                <w:rFonts w:hint="eastAsia"/>
              </w:rPr>
              <w:t>电梯</w:t>
            </w:r>
            <w:r>
              <w:rPr>
                <w:rFonts w:hint="eastAsia" w:ascii="宋体" w:hAnsi="宋体"/>
                <w:b/>
                <w:bCs/>
                <w:sz w:val="20"/>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宋体" w:hAnsi="宋体"/>
                <w:b/>
                <w:bCs/>
                <w:sz w:val="20"/>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ascii="宋体" w:hAnsi="宋体"/>
                <w:b/>
                <w:bCs/>
                <w:sz w:val="20"/>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ascii="宋体" w:hAnsi="宋体"/>
                <w:b/>
                <w:bCs/>
                <w:sz w:val="20"/>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宋体" w:hAnsi="宋体"/>
                <w:b/>
                <w:bCs/>
                <w:sz w:val="20"/>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宋体" w:hAnsi="宋体"/>
                <w:b/>
                <w:bCs/>
                <w:sz w:val="20"/>
              </w:rPr>
              <w:t>■</w:t>
            </w:r>
            <w:r>
              <w:rPr>
                <w:rFonts w:hint="eastAsia"/>
              </w:rPr>
              <w:t>外校</w:t>
            </w:r>
          </w:p>
          <w:p>
            <w:pPr>
              <w:shd w:val="clear" w:color="auto" w:fill="C7DAF1" w:themeFill="text2" w:themeFillTint="32"/>
              <w:rPr>
                <w:u w:val="single"/>
              </w:rPr>
            </w:pPr>
            <w:r>
              <w:rPr>
                <w:rFonts w:hint="eastAsia"/>
              </w:rPr>
              <w:t>国家强检的计量器具有：</w:t>
            </w:r>
            <w:r>
              <w:rPr>
                <w:rFonts w:hint="eastAsia" w:ascii="宋体" w:hAnsi="宋体" w:cs="宋体"/>
                <w:color w:val="auto"/>
                <w:sz w:val="21"/>
                <w:szCs w:val="21"/>
              </w:rPr>
              <w:t>双管定碳炉、原子吸收分光光度计、电子天平</w:t>
            </w:r>
            <w:r>
              <w:rPr>
                <w:rFonts w:hint="eastAsia" w:ascii="宋体" w:hAnsi="宋体" w:cs="宋体"/>
                <w:bCs/>
                <w:color w:val="auto"/>
                <w:sz w:val="21"/>
                <w:szCs w:val="21"/>
              </w:rPr>
              <w:t>等</w:t>
            </w:r>
          </w:p>
          <w:p>
            <w:pPr>
              <w:shd w:val="clear" w:color="auto" w:fill="C7DAF1" w:themeFill="text2" w:themeFillTint="32"/>
              <w:rPr>
                <w:u w:val="single"/>
              </w:rPr>
            </w:pPr>
            <w:r>
              <w:rPr>
                <w:rFonts w:hint="eastAsia"/>
              </w:rPr>
              <w:t>计量器具管理：</w:t>
            </w:r>
            <w:r>
              <w:rPr>
                <w:rFonts w:hint="eastAsia" w:ascii="宋体" w:hAnsi="宋体"/>
                <w:b/>
                <w:bCs/>
                <w:sz w:val="20"/>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加工工艺 ■生产经验  </w:t>
            </w:r>
            <w:r>
              <w:rPr>
                <w:rFonts w:hint="eastAsia" w:ascii="Wingdings" w:hAnsi="Wingdings"/>
              </w:rPr>
              <w:t>¨</w:t>
            </w:r>
            <w:r>
              <w:rPr>
                <w:rFonts w:hint="eastAsia"/>
              </w:rPr>
              <w:t xml:space="preserve">管理软件  ■市场预测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■顾客提供资料 ■产品标准  ■学术交流信息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highlight w:val="none"/>
              </w:rPr>
            </w:pPr>
            <w:r>
              <w:rPr>
                <w:rFonts w:hint="eastAsia"/>
                <w:highlight w:val="none"/>
              </w:rPr>
              <w:t>组织已确定在其控制的工作人员所需具备的能力，并采取措施以获得所需的能力，并评价措施的有效性；</w:t>
            </w:r>
          </w:p>
          <w:p>
            <w:pPr>
              <w:shd w:val="clear" w:color="auto" w:fill="C7DAF1" w:themeFill="text2" w:themeFillTint="32"/>
              <w:rPr>
                <w:highlight w:val="none"/>
              </w:rPr>
            </w:pPr>
            <w:r>
              <w:rPr>
                <w:rFonts w:hint="eastAsia"/>
                <w:highlight w:val="none"/>
              </w:rPr>
              <w:t xml:space="preserve">通过 ■招聘 ■换岗  ■培训  ■考核   </w:t>
            </w:r>
            <w:r>
              <w:rPr>
                <w:rFonts w:hint="eastAsia" w:ascii="Wingdings" w:hAnsi="Wingdings"/>
                <w:highlight w:val="none"/>
              </w:rPr>
              <w:t>¨</w:t>
            </w:r>
            <w:r>
              <w:rPr>
                <w:rFonts w:hint="eastAsia"/>
                <w:highlight w:val="none"/>
              </w:rPr>
              <w:t xml:space="preserve">辅导  </w:t>
            </w:r>
            <w:r>
              <w:rPr>
                <w:rFonts w:hint="eastAsia" w:ascii="Wingdings" w:hAnsi="Wingdings"/>
                <w:highlight w:val="none"/>
              </w:rPr>
              <w:t>¨</w:t>
            </w:r>
            <w:r>
              <w:rPr>
                <w:rFonts w:hint="eastAsia"/>
                <w:highlight w:val="none"/>
              </w:rPr>
              <w:t>其他</w:t>
            </w:r>
          </w:p>
          <w:p>
            <w:pPr>
              <w:shd w:val="clear" w:color="auto" w:fill="C7DAF1" w:themeFill="text2" w:themeFillTint="32"/>
              <w:rPr>
                <w:highlight w:val="none"/>
              </w:rPr>
            </w:pPr>
            <w:r>
              <w:rPr>
                <w:rFonts w:hint="eastAsia"/>
                <w:highlight w:val="none"/>
              </w:rPr>
              <w:t>对国家规定持证上岗的人员资质进行了有效的管理。</w:t>
            </w:r>
          </w:p>
          <w:p>
            <w:pPr>
              <w:shd w:val="clear" w:color="auto" w:fill="C7DAF1" w:themeFill="text2" w:themeFillTint="32"/>
              <w:rPr>
                <w:highlight w:val="none"/>
              </w:rPr>
            </w:pPr>
            <w:r>
              <w:rPr>
                <w:rFonts w:hint="eastAsia"/>
                <w:highlight w:val="none"/>
              </w:rPr>
              <w:t xml:space="preserve">特种作业人员：■电工 ■焊工  </w:t>
            </w:r>
            <w:r>
              <w:rPr>
                <w:rFonts w:hint="eastAsia" w:ascii="Wingdings" w:hAnsi="Wingdings"/>
                <w:highlight w:val="none"/>
              </w:rPr>
              <w:t>¨</w:t>
            </w:r>
            <w:r>
              <w:rPr>
                <w:rFonts w:hint="eastAsia"/>
                <w:highlight w:val="none"/>
              </w:rPr>
              <w:t xml:space="preserve">危化品作业  </w:t>
            </w:r>
            <w:r>
              <w:rPr>
                <w:rFonts w:hint="eastAsia" w:ascii="Wingdings" w:hAnsi="Wingdings"/>
                <w:highlight w:val="none"/>
              </w:rPr>
              <w:t>¨</w:t>
            </w:r>
            <w:r>
              <w:rPr>
                <w:rFonts w:hint="eastAsia"/>
                <w:highlight w:val="none"/>
              </w:rPr>
              <w:t xml:space="preserve">制冷工   </w:t>
            </w:r>
            <w:r>
              <w:rPr>
                <w:rFonts w:hint="eastAsia" w:ascii="Wingdings" w:hAnsi="Wingdings"/>
                <w:highlight w:val="none"/>
              </w:rPr>
              <w:t>¨</w:t>
            </w:r>
            <w:r>
              <w:rPr>
                <w:rFonts w:hint="eastAsia"/>
                <w:highlight w:val="none"/>
              </w:rPr>
              <w:t xml:space="preserve">其他  </w:t>
            </w:r>
          </w:p>
          <w:p>
            <w:pPr>
              <w:shd w:val="clear" w:color="auto" w:fill="C7DAF1" w:themeFill="text2" w:themeFillTint="32"/>
            </w:pPr>
            <w:r>
              <w:rPr>
                <w:rFonts w:hint="eastAsia"/>
                <w:highlight w:val="none"/>
              </w:rPr>
              <w:t xml:space="preserve">特种设备作业人员：■叉车工 ■行车工  ■锅炉工  </w:t>
            </w:r>
            <w:r>
              <w:rPr>
                <w:rFonts w:hint="eastAsia" w:ascii="Wingdings" w:hAnsi="Wingdings"/>
                <w:highlight w:val="none"/>
              </w:rPr>
              <w:t>¨</w:t>
            </w:r>
            <w:r>
              <w:rPr>
                <w:rFonts w:hint="eastAsia"/>
                <w:highlight w:val="none"/>
              </w:rPr>
              <w:t xml:space="preserve">压力容器   </w:t>
            </w:r>
            <w:r>
              <w:rPr>
                <w:rFonts w:hint="eastAsia" w:ascii="Wingdings" w:hAnsi="Wingdings"/>
                <w:highlight w:val="none"/>
              </w:rPr>
              <w:t>¨</w:t>
            </w:r>
            <w:r>
              <w:rPr>
                <w:rFonts w:hint="eastAsia"/>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■标语  ■培训  ■看板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■标语  ■展板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hint="eastAsia" w:ascii="Wingdings" w:hAnsi="Wingdings"/>
              </w:rPr>
              <w:t>¨</w:t>
            </w:r>
            <w:r>
              <w:rPr>
                <w:rFonts w:hint="eastAsia"/>
              </w:rPr>
              <w:t>网站  ■标语  ■展板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■检测计划   ■接收准则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hint="eastAsia" w:ascii="Wingdings" w:hAnsi="Wingdings"/>
              </w:rPr>
              <w:t>¨</w:t>
            </w:r>
            <w:r>
              <w:rPr>
                <w:rFonts w:hint="eastAsia"/>
              </w:rPr>
              <w:t xml:space="preserve">企业标准  ■顾客要求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委托加工  ■顾客要求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6"/>
              <w:gridCol w:w="3481"/>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tcPr>
                <w:p>
                  <w:pPr>
                    <w:shd w:val="clear" w:color="auto" w:fill="C7DAF1" w:themeFill="text2" w:themeFillTint="32"/>
                    <w:jc w:val="left"/>
                  </w:pPr>
                  <w:r>
                    <w:rPr>
                      <w:rFonts w:hint="eastAsia"/>
                    </w:rPr>
                    <w:t>产品/服务名称</w:t>
                  </w:r>
                </w:p>
              </w:tc>
              <w:tc>
                <w:tcPr>
                  <w:tcW w:w="3481"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tcPr>
                <w:p>
                  <w:pPr>
                    <w:shd w:val="clear" w:color="auto" w:fill="C7DAF1" w:themeFill="text2" w:themeFillTint="32"/>
                    <w:jc w:val="left"/>
                    <w:rPr>
                      <w:highlight w:val="none"/>
                    </w:rPr>
                  </w:pPr>
                  <w:r>
                    <w:rPr>
                      <w:sz w:val="20"/>
                      <w:highlight w:val="none"/>
                    </w:rPr>
                    <w:t>铅精矿和锌精矿</w:t>
                  </w:r>
                </w:p>
              </w:tc>
              <w:tc>
                <w:tcPr>
                  <w:tcW w:w="3481" w:type="dxa"/>
                </w:tcPr>
                <w:p>
                  <w:pPr>
                    <w:shd w:val="clear" w:color="auto" w:fill="C7DAF1" w:themeFill="text2" w:themeFillTint="32"/>
                    <w:jc w:val="left"/>
                    <w:rPr>
                      <w:highlight w:val="none"/>
                    </w:rPr>
                  </w:pPr>
                  <w:r>
                    <w:rPr>
                      <w:rFonts w:hint="eastAsia" w:ascii="宋体" w:hAnsi="宋体" w:cs="宋体"/>
                      <w:bCs/>
                      <w:color w:val="000000" w:themeColor="text1"/>
                      <w:sz w:val="21"/>
                      <w:szCs w:val="21"/>
                      <w:highlight w:val="none"/>
                    </w:rPr>
                    <w:t>浮选过程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选矿品位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tcPr>
                <w:p>
                  <w:pPr>
                    <w:shd w:val="clear" w:color="auto" w:fill="C7DAF1" w:themeFill="text2" w:themeFillTint="32"/>
                    <w:jc w:val="left"/>
                  </w:pPr>
                </w:p>
              </w:tc>
              <w:tc>
                <w:tcPr>
                  <w:tcW w:w="3481"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tcPr>
                <w:p>
                  <w:pPr>
                    <w:shd w:val="clear" w:color="auto" w:fill="C7DAF1" w:themeFill="text2" w:themeFillTint="32"/>
                    <w:jc w:val="left"/>
                  </w:pPr>
                </w:p>
              </w:tc>
              <w:tc>
                <w:tcPr>
                  <w:tcW w:w="3481"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eastAsia="zh-CN"/>
              </w:rPr>
              <w:t>无</w:t>
            </w:r>
            <w:r>
              <w:rPr>
                <w:rFonts w:hint="eastAsia"/>
              </w:rPr>
              <w:t>，</w:t>
            </w:r>
          </w:p>
          <w:p>
            <w:pPr>
              <w:shd w:val="clear" w:color="auto" w:fill="C7DAF1" w:themeFill="text2" w:themeFillTint="32"/>
              <w:jc w:val="left"/>
            </w:pP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■标牌 ■区域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可追溯性实现：■符合要求</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配方 ■个人信息 ■其他</w:t>
            </w:r>
          </w:p>
          <w:p>
            <w:pPr>
              <w:shd w:val="clear" w:color="auto" w:fill="C7DAF1" w:themeFill="text2" w:themeFillTint="32"/>
              <w:jc w:val="left"/>
            </w:pPr>
            <w:r>
              <w:rPr>
                <w:rFonts w:hint="eastAsia"/>
              </w:rPr>
              <w:t xml:space="preserve">顾客或外部供方财产控制：■符合要求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维修</w:t>
            </w:r>
            <w:r>
              <w:rPr>
                <w:rFonts w:hint="eastAsia"/>
                <w:lang w:val="en-US" w:eastAsia="zh-CN"/>
              </w:rPr>
              <w:t xml:space="preserve"> </w:t>
            </w:r>
            <w:r>
              <w:rPr>
                <w:rFonts w:hint="eastAsia"/>
              </w:rPr>
              <w:t xml:space="preserve">■赔偿 </w:t>
            </w:r>
            <w:r>
              <w:rPr>
                <w:rFonts w:hint="eastAsia" w:ascii="Wingdings" w:hAnsi="Wingdings"/>
              </w:rPr>
              <w:t>¨</w:t>
            </w:r>
            <w:r>
              <w:rPr>
                <w:rFonts w:hint="eastAsia"/>
              </w:rPr>
              <w:t xml:space="preserve">道歉 ■最终处置 </w:t>
            </w:r>
            <w:r>
              <w:rPr>
                <w:rFonts w:hint="eastAsia"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hint="eastAsia" w:ascii="Wingdings" w:hAnsi="Wingdings"/>
              </w:rPr>
              <w:t>¨</w:t>
            </w:r>
            <w:r>
              <w:rPr>
                <w:rFonts w:hint="eastAsia"/>
              </w:rPr>
              <w:t xml:space="preserve">首件检验 ■过程检验 ■最终检验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u w:val="single"/>
                <w:lang w:val="en-US" w:eastAsia="zh-CN"/>
              </w:rPr>
              <w:t>产品检验报告</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highlight w:val="none"/>
              </w:rPr>
              <w:t>策划于</w:t>
            </w:r>
            <w:r>
              <w:rPr>
                <w:rFonts w:hint="eastAsia"/>
                <w:highlight w:val="none"/>
                <w:lang w:val="en-US" w:eastAsia="zh-CN"/>
              </w:rPr>
              <w:t>2022</w:t>
            </w:r>
            <w:r>
              <w:rPr>
                <w:rFonts w:hint="eastAsia"/>
                <w:highlight w:val="none"/>
              </w:rPr>
              <w:t>年</w:t>
            </w:r>
            <w:r>
              <w:rPr>
                <w:rFonts w:hint="eastAsia"/>
                <w:highlight w:val="none"/>
                <w:lang w:val="en-US" w:eastAsia="zh-CN"/>
              </w:rPr>
              <w:t>7</w:t>
            </w:r>
            <w:r>
              <w:rPr>
                <w:rFonts w:hint="eastAsia"/>
                <w:highlight w:val="none"/>
              </w:rPr>
              <w:t>月</w:t>
            </w:r>
            <w:r>
              <w:rPr>
                <w:rFonts w:hint="eastAsia"/>
                <w:highlight w:val="none"/>
                <w:lang w:val="en-US" w:eastAsia="zh-CN"/>
              </w:rPr>
              <w:t>4-5</w:t>
            </w:r>
            <w:r>
              <w:rPr>
                <w:rFonts w:hint="eastAsia"/>
                <w:highlight w:val="none"/>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w:t>
            </w:r>
            <w:r>
              <w:rPr>
                <w:rFonts w:hint="eastAsia"/>
                <w:highlight w:val="none"/>
              </w:rPr>
              <w:t>理者已按策划的时间间隔，在</w:t>
            </w:r>
            <w:r>
              <w:rPr>
                <w:rFonts w:hint="eastAsia"/>
                <w:highlight w:val="none"/>
                <w:lang w:val="en-US" w:eastAsia="zh-CN"/>
              </w:rPr>
              <w:t>2022</w:t>
            </w:r>
            <w:r>
              <w:rPr>
                <w:rFonts w:hint="eastAsia"/>
                <w:highlight w:val="none"/>
              </w:rPr>
              <w:t>年</w:t>
            </w:r>
            <w:r>
              <w:rPr>
                <w:rFonts w:hint="eastAsia"/>
                <w:highlight w:val="none"/>
                <w:lang w:val="en-US" w:eastAsia="zh-CN"/>
              </w:rPr>
              <w:t>7</w:t>
            </w:r>
            <w:r>
              <w:rPr>
                <w:rFonts w:hint="eastAsia"/>
                <w:highlight w:val="none"/>
              </w:rPr>
              <w:t>月</w:t>
            </w:r>
            <w:r>
              <w:rPr>
                <w:rFonts w:hint="eastAsia"/>
                <w:highlight w:val="none"/>
                <w:lang w:val="en-US" w:eastAsia="zh-CN"/>
              </w:rPr>
              <w:t>19</w:t>
            </w:r>
            <w:r>
              <w:rPr>
                <w:rFonts w:hint="eastAsia"/>
                <w:highlight w:val="none"/>
              </w:rPr>
              <w:t>日对组织的质量管理</w:t>
            </w:r>
            <w:r>
              <w:rPr>
                <w:rFonts w:hint="eastAsia"/>
              </w:rPr>
              <w:t>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■自我验证的结果  ■顾客投诉  ■顾客满意调查 </w:t>
            </w:r>
          </w:p>
          <w:p>
            <w:pPr>
              <w:shd w:val="clear" w:color="auto" w:fill="C7DAF1" w:themeFill="text2" w:themeFillTint="32"/>
            </w:pPr>
            <w:r>
              <w:rPr>
                <w:rFonts w:hint="eastAsia"/>
              </w:rPr>
              <w:t xml:space="preserve">■内审不符合项   ■外审不符合项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highlight w:val="none"/>
              </w:rPr>
              <w:t>4.1</w:t>
            </w:r>
          </w:p>
        </w:tc>
        <w:tc>
          <w:tcPr>
            <w:tcW w:w="650" w:type="dxa"/>
            <w:vAlign w:val="center"/>
          </w:tcPr>
          <w:p>
            <w:pPr>
              <w:shd w:val="clear" w:color="auto" w:fill="C7DAF1" w:themeFill="text2" w:themeFillTint="32"/>
              <w:rPr>
                <w:lang w:eastAsia="ja-JP"/>
              </w:rPr>
            </w:pPr>
            <w:r>
              <w:rPr>
                <w:rFonts w:hint="eastAsia"/>
                <w:highlight w:val="none"/>
              </w:rPr>
              <w:t>4.2</w:t>
            </w:r>
          </w:p>
        </w:tc>
        <w:tc>
          <w:tcPr>
            <w:tcW w:w="650" w:type="dxa"/>
            <w:vAlign w:val="center"/>
          </w:tcPr>
          <w:p>
            <w:pPr>
              <w:shd w:val="clear" w:color="auto" w:fill="C7DAF1" w:themeFill="text2" w:themeFillTint="32"/>
              <w:rPr>
                <w:lang w:eastAsia="ja-JP"/>
              </w:rPr>
            </w:pPr>
            <w:r>
              <w:rPr>
                <w:rFonts w:hint="eastAsia"/>
                <w:highlight w:val="none"/>
              </w:rPr>
              <w:t>4.3</w:t>
            </w:r>
          </w:p>
        </w:tc>
        <w:tc>
          <w:tcPr>
            <w:tcW w:w="649" w:type="dxa"/>
            <w:vAlign w:val="center"/>
          </w:tcPr>
          <w:p>
            <w:pPr>
              <w:shd w:val="clear" w:color="auto" w:fill="C7DAF1" w:themeFill="text2" w:themeFillTint="32"/>
              <w:rPr>
                <w:lang w:eastAsia="ja-JP"/>
              </w:rPr>
            </w:pPr>
            <w:r>
              <w:rPr>
                <w:rFonts w:hint="eastAsia"/>
                <w:highlight w:val="none"/>
              </w:rPr>
              <w:t>4.4</w:t>
            </w:r>
          </w:p>
        </w:tc>
        <w:tc>
          <w:tcPr>
            <w:tcW w:w="650" w:type="dxa"/>
            <w:vAlign w:val="center"/>
          </w:tcPr>
          <w:p>
            <w:pPr>
              <w:shd w:val="clear" w:color="auto" w:fill="C7DAF1" w:themeFill="text2" w:themeFillTint="32"/>
              <w:rPr>
                <w:lang w:eastAsia="ja-JP"/>
              </w:rPr>
            </w:pPr>
            <w:r>
              <w:rPr>
                <w:rFonts w:hint="eastAsia"/>
                <w:highlight w:val="none"/>
              </w:rPr>
              <w:t>5.1</w:t>
            </w:r>
          </w:p>
        </w:tc>
        <w:tc>
          <w:tcPr>
            <w:tcW w:w="650" w:type="dxa"/>
            <w:vAlign w:val="center"/>
          </w:tcPr>
          <w:p>
            <w:pPr>
              <w:shd w:val="clear" w:color="auto" w:fill="C7DAF1" w:themeFill="text2" w:themeFillTint="32"/>
              <w:rPr>
                <w:lang w:eastAsia="ja-JP"/>
              </w:rPr>
            </w:pPr>
            <w:r>
              <w:rPr>
                <w:rFonts w:hint="eastAsia"/>
                <w:highlight w:val="none"/>
              </w:rPr>
              <w:t>5.2</w:t>
            </w:r>
          </w:p>
        </w:tc>
        <w:tc>
          <w:tcPr>
            <w:tcW w:w="649" w:type="dxa"/>
            <w:vAlign w:val="center"/>
          </w:tcPr>
          <w:p>
            <w:pPr>
              <w:shd w:val="clear" w:color="auto" w:fill="C7DAF1" w:themeFill="text2" w:themeFillTint="32"/>
              <w:rPr>
                <w:lang w:eastAsia="ja-JP"/>
              </w:rPr>
            </w:pPr>
            <w:r>
              <w:rPr>
                <w:rFonts w:hint="eastAsia"/>
                <w:highlight w:val="none"/>
              </w:rPr>
              <w:t>5.3</w:t>
            </w:r>
          </w:p>
        </w:tc>
        <w:tc>
          <w:tcPr>
            <w:tcW w:w="650" w:type="dxa"/>
            <w:vAlign w:val="center"/>
          </w:tcPr>
          <w:p>
            <w:pPr>
              <w:shd w:val="clear" w:color="auto" w:fill="C7DAF1" w:themeFill="text2" w:themeFillTint="32"/>
              <w:rPr>
                <w:lang w:eastAsia="ja-JP"/>
              </w:rPr>
            </w:pPr>
            <w:r>
              <w:rPr>
                <w:rFonts w:hint="eastAsia"/>
                <w:highlight w:val="none"/>
              </w:rPr>
              <w:t>6.1</w:t>
            </w:r>
          </w:p>
        </w:tc>
        <w:tc>
          <w:tcPr>
            <w:tcW w:w="650" w:type="dxa"/>
            <w:vAlign w:val="center"/>
          </w:tcPr>
          <w:p>
            <w:pPr>
              <w:shd w:val="clear" w:color="auto" w:fill="C7DAF1" w:themeFill="text2" w:themeFillTint="32"/>
              <w:rPr>
                <w:lang w:eastAsia="ja-JP"/>
              </w:rPr>
            </w:pPr>
            <w:r>
              <w:rPr>
                <w:rFonts w:hint="eastAsia"/>
                <w:highlight w:val="none"/>
              </w:rPr>
              <w:t>6.2</w:t>
            </w:r>
          </w:p>
        </w:tc>
        <w:tc>
          <w:tcPr>
            <w:tcW w:w="649" w:type="dxa"/>
            <w:vAlign w:val="center"/>
          </w:tcPr>
          <w:p>
            <w:pPr>
              <w:shd w:val="clear" w:color="auto" w:fill="C7DAF1" w:themeFill="text2" w:themeFillTint="32"/>
              <w:rPr>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highlight w:val="none"/>
              </w:rPr>
              <w:t>1</w:t>
            </w:r>
          </w:p>
        </w:tc>
        <w:tc>
          <w:tcPr>
            <w:tcW w:w="650" w:type="dxa"/>
            <w:vAlign w:val="center"/>
          </w:tcPr>
          <w:p>
            <w:pPr>
              <w:shd w:val="clear" w:color="auto" w:fill="C7DAF1" w:themeFill="text2" w:themeFillTint="32"/>
              <w:rPr>
                <w:lang w:eastAsia="ja-JP"/>
              </w:rPr>
            </w:pPr>
            <w:r>
              <w:rPr>
                <w:highlight w:val="none"/>
              </w:rPr>
              <w:t>1</w:t>
            </w:r>
          </w:p>
        </w:tc>
        <w:tc>
          <w:tcPr>
            <w:tcW w:w="650" w:type="dxa"/>
            <w:vAlign w:val="center"/>
          </w:tcPr>
          <w:p>
            <w:pPr>
              <w:shd w:val="clear" w:color="auto" w:fill="C7DAF1" w:themeFill="text2" w:themeFillTint="32"/>
              <w:rPr>
                <w:lang w:eastAsia="ja-JP"/>
              </w:rPr>
            </w:pPr>
            <w:r>
              <w:rPr>
                <w:highlight w:val="none"/>
              </w:rPr>
              <w:t>1</w:t>
            </w:r>
          </w:p>
        </w:tc>
        <w:tc>
          <w:tcPr>
            <w:tcW w:w="649" w:type="dxa"/>
            <w:vAlign w:val="center"/>
          </w:tcPr>
          <w:p>
            <w:pPr>
              <w:shd w:val="clear" w:color="auto" w:fill="C7DAF1" w:themeFill="text2" w:themeFillTint="32"/>
              <w:rPr>
                <w:lang w:eastAsia="ja-JP"/>
              </w:rPr>
            </w:pPr>
            <w:r>
              <w:rPr>
                <w:highlight w:val="none"/>
              </w:rPr>
              <w:t>1</w:t>
            </w:r>
          </w:p>
        </w:tc>
        <w:tc>
          <w:tcPr>
            <w:tcW w:w="650" w:type="dxa"/>
            <w:vAlign w:val="center"/>
          </w:tcPr>
          <w:p>
            <w:pPr>
              <w:shd w:val="clear" w:color="auto" w:fill="C7DAF1" w:themeFill="text2" w:themeFillTint="32"/>
              <w:rPr>
                <w:lang w:eastAsia="ja-JP"/>
              </w:rPr>
            </w:pPr>
            <w:r>
              <w:rPr>
                <w:highlight w:val="none"/>
              </w:rPr>
              <w:t>1</w:t>
            </w:r>
          </w:p>
        </w:tc>
        <w:tc>
          <w:tcPr>
            <w:tcW w:w="650" w:type="dxa"/>
            <w:vAlign w:val="center"/>
          </w:tcPr>
          <w:p>
            <w:pPr>
              <w:shd w:val="clear" w:color="auto" w:fill="C7DAF1" w:themeFill="text2" w:themeFillTint="32"/>
              <w:rPr>
                <w:lang w:eastAsia="ja-JP"/>
              </w:rPr>
            </w:pPr>
            <w:r>
              <w:rPr>
                <w:highlight w:val="none"/>
              </w:rPr>
              <w:t>1</w:t>
            </w:r>
          </w:p>
        </w:tc>
        <w:tc>
          <w:tcPr>
            <w:tcW w:w="649" w:type="dxa"/>
            <w:vAlign w:val="center"/>
          </w:tcPr>
          <w:p>
            <w:pPr>
              <w:shd w:val="clear" w:color="auto" w:fill="C7DAF1" w:themeFill="text2" w:themeFillTint="32"/>
              <w:rPr>
                <w:lang w:eastAsia="ja-JP"/>
              </w:rPr>
            </w:pPr>
            <w:r>
              <w:rPr>
                <w:highlight w:val="none"/>
              </w:rPr>
              <w:t>1</w:t>
            </w:r>
          </w:p>
        </w:tc>
        <w:tc>
          <w:tcPr>
            <w:tcW w:w="650" w:type="dxa"/>
            <w:vAlign w:val="center"/>
          </w:tcPr>
          <w:p>
            <w:pPr>
              <w:shd w:val="clear" w:color="auto" w:fill="C7DAF1" w:themeFill="text2" w:themeFillTint="32"/>
              <w:rPr>
                <w:lang w:eastAsia="ja-JP"/>
              </w:rPr>
            </w:pPr>
            <w:r>
              <w:rPr>
                <w:highlight w:val="none"/>
              </w:rPr>
              <w:t>1</w:t>
            </w:r>
          </w:p>
        </w:tc>
        <w:tc>
          <w:tcPr>
            <w:tcW w:w="650" w:type="dxa"/>
            <w:vAlign w:val="center"/>
          </w:tcPr>
          <w:p>
            <w:pPr>
              <w:shd w:val="clear" w:color="auto" w:fill="C7DAF1" w:themeFill="text2" w:themeFillTint="32"/>
              <w:rPr>
                <w:lang w:eastAsia="ja-JP"/>
              </w:rPr>
            </w:pPr>
            <w:r>
              <w:rPr>
                <w:highlight w:val="none"/>
              </w:rPr>
              <w:t>1</w:t>
            </w:r>
          </w:p>
        </w:tc>
        <w:tc>
          <w:tcPr>
            <w:tcW w:w="649" w:type="dxa"/>
            <w:vAlign w:val="center"/>
          </w:tcPr>
          <w:p>
            <w:pPr>
              <w:shd w:val="clear" w:color="auto" w:fill="C7DAF1" w:themeFill="text2" w:themeFillTint="32"/>
              <w:rPr>
                <w:lang w:eastAsia="ja-JP"/>
              </w:rPr>
            </w:pPr>
            <w:r>
              <w:rPr>
                <w:highlight w:val="none"/>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lang w:eastAsia="ja-JP"/>
              </w:rPr>
            </w:pPr>
            <w:r>
              <w:rPr>
                <w:rFonts w:hint="eastAsia"/>
                <w:highlight w:val="none"/>
              </w:rPr>
              <w:t>7.2</w:t>
            </w:r>
          </w:p>
        </w:tc>
        <w:tc>
          <w:tcPr>
            <w:tcW w:w="650" w:type="dxa"/>
            <w:vAlign w:val="center"/>
          </w:tcPr>
          <w:p>
            <w:pPr>
              <w:shd w:val="clear" w:color="auto" w:fill="C7DAF1" w:themeFill="text2" w:themeFillTint="32"/>
              <w:rPr>
                <w:lang w:eastAsia="ja-JP"/>
              </w:rPr>
            </w:pPr>
            <w:r>
              <w:rPr>
                <w:rFonts w:hint="eastAsia"/>
                <w:highlight w:val="none"/>
              </w:rPr>
              <w:t>7.3</w:t>
            </w:r>
          </w:p>
        </w:tc>
        <w:tc>
          <w:tcPr>
            <w:tcW w:w="649" w:type="dxa"/>
            <w:vAlign w:val="center"/>
          </w:tcPr>
          <w:p>
            <w:pPr>
              <w:shd w:val="clear" w:color="auto" w:fill="C7DAF1" w:themeFill="text2" w:themeFillTint="32"/>
              <w:rPr>
                <w:lang w:eastAsia="ja-JP"/>
              </w:rPr>
            </w:pPr>
            <w:r>
              <w:rPr>
                <w:rFonts w:hint="eastAsia"/>
                <w:highlight w:val="none"/>
              </w:rPr>
              <w:t>7.4</w:t>
            </w:r>
          </w:p>
        </w:tc>
        <w:tc>
          <w:tcPr>
            <w:tcW w:w="650" w:type="dxa"/>
            <w:vAlign w:val="center"/>
          </w:tcPr>
          <w:p>
            <w:pPr>
              <w:shd w:val="clear" w:color="auto" w:fill="C7DAF1" w:themeFill="text2" w:themeFillTint="32"/>
              <w:rPr>
                <w:lang w:eastAsia="ja-JP"/>
              </w:rPr>
            </w:pPr>
            <w:r>
              <w:rPr>
                <w:rFonts w:hint="eastAsia"/>
                <w:highlight w:val="none"/>
              </w:rPr>
              <w:t>7.5</w:t>
            </w:r>
          </w:p>
        </w:tc>
        <w:tc>
          <w:tcPr>
            <w:tcW w:w="650" w:type="dxa"/>
            <w:vAlign w:val="center"/>
          </w:tcPr>
          <w:p>
            <w:pPr>
              <w:shd w:val="clear" w:color="auto" w:fill="C7DAF1" w:themeFill="text2" w:themeFillTint="32"/>
              <w:rPr>
                <w:lang w:eastAsia="ja-JP"/>
              </w:rPr>
            </w:pPr>
            <w:r>
              <w:rPr>
                <w:rFonts w:hint="eastAsia"/>
                <w:highlight w:val="none"/>
              </w:rPr>
              <w:t>8.1</w:t>
            </w:r>
          </w:p>
        </w:tc>
        <w:tc>
          <w:tcPr>
            <w:tcW w:w="649" w:type="dxa"/>
            <w:vAlign w:val="center"/>
          </w:tcPr>
          <w:p>
            <w:pPr>
              <w:shd w:val="clear" w:color="auto" w:fill="C7DAF1" w:themeFill="text2" w:themeFillTint="32"/>
              <w:rPr>
                <w:lang w:eastAsia="ja-JP"/>
              </w:rPr>
            </w:pPr>
            <w:r>
              <w:rPr>
                <w:rFonts w:hint="eastAsia"/>
                <w:highlight w:val="none"/>
              </w:rPr>
              <w:t>8.2</w:t>
            </w:r>
          </w:p>
        </w:tc>
        <w:tc>
          <w:tcPr>
            <w:tcW w:w="650" w:type="dxa"/>
            <w:vAlign w:val="center"/>
          </w:tcPr>
          <w:p>
            <w:pPr>
              <w:shd w:val="clear" w:color="auto" w:fill="C7DAF1" w:themeFill="text2" w:themeFillTint="32"/>
              <w:rPr>
                <w:lang w:eastAsia="ja-JP"/>
              </w:rPr>
            </w:pPr>
            <w:r>
              <w:rPr>
                <w:rFonts w:hint="eastAsia"/>
                <w:highlight w:val="none"/>
              </w:rPr>
              <w:t>8.3</w:t>
            </w:r>
          </w:p>
        </w:tc>
        <w:tc>
          <w:tcPr>
            <w:tcW w:w="650" w:type="dxa"/>
            <w:vAlign w:val="center"/>
          </w:tcPr>
          <w:p>
            <w:pPr>
              <w:shd w:val="clear" w:color="auto" w:fill="C7DAF1" w:themeFill="text2" w:themeFillTint="32"/>
              <w:rPr>
                <w:lang w:eastAsia="ja-JP"/>
              </w:rPr>
            </w:pPr>
            <w:r>
              <w:rPr>
                <w:rFonts w:hint="eastAsia"/>
                <w:highlight w:val="none"/>
              </w:rPr>
              <w:t>8.4</w:t>
            </w:r>
          </w:p>
        </w:tc>
        <w:tc>
          <w:tcPr>
            <w:tcW w:w="649" w:type="dxa"/>
            <w:vAlign w:val="center"/>
          </w:tcPr>
          <w:p>
            <w:pPr>
              <w:shd w:val="clear" w:color="auto" w:fill="C7DAF1" w:themeFill="text2" w:themeFillTint="32"/>
              <w:rPr>
                <w:lang w:eastAsia="ja-JP"/>
              </w:rPr>
            </w:pPr>
            <w:r>
              <w:rPr>
                <w:rFonts w:hint="eastAsia"/>
                <w:highlight w:val="none"/>
              </w:rPr>
              <w:t>8.5</w:t>
            </w:r>
          </w:p>
        </w:tc>
        <w:tc>
          <w:tcPr>
            <w:tcW w:w="650" w:type="dxa"/>
            <w:vAlign w:val="center"/>
          </w:tcPr>
          <w:p>
            <w:pPr>
              <w:shd w:val="clear" w:color="auto" w:fill="C7DAF1" w:themeFill="text2" w:themeFillTint="32"/>
              <w:rPr>
                <w:lang w:eastAsia="ja-JP"/>
              </w:rPr>
            </w:pPr>
            <w:r>
              <w:rPr>
                <w:rFonts w:hint="eastAsia"/>
                <w:highlight w:val="none"/>
              </w:rPr>
              <w:t>8.6</w:t>
            </w:r>
          </w:p>
        </w:tc>
        <w:tc>
          <w:tcPr>
            <w:tcW w:w="650" w:type="dxa"/>
            <w:vAlign w:val="center"/>
          </w:tcPr>
          <w:p>
            <w:pPr>
              <w:shd w:val="clear" w:color="auto" w:fill="C7DAF1" w:themeFill="text2" w:themeFillTint="32"/>
              <w:rPr>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3</w:t>
            </w:r>
          </w:p>
        </w:tc>
        <w:tc>
          <w:tcPr>
            <w:tcW w:w="650" w:type="dxa"/>
            <w:vAlign w:val="center"/>
          </w:tcPr>
          <w:p>
            <w:pPr>
              <w:shd w:val="clear" w:color="auto" w:fill="C7DAF1" w:themeFill="text2" w:themeFillTint="32"/>
              <w:rPr>
                <w:lang w:eastAsia="ja-JP"/>
              </w:rPr>
            </w:pPr>
            <w:r>
              <w:rPr>
                <w:highlight w:val="none"/>
              </w:rPr>
              <w:t>1</w:t>
            </w:r>
          </w:p>
        </w:tc>
        <w:tc>
          <w:tcPr>
            <w:tcW w:w="650" w:type="dxa"/>
            <w:vAlign w:val="center"/>
          </w:tcPr>
          <w:p>
            <w:pPr>
              <w:shd w:val="clear" w:color="auto" w:fill="C7DAF1" w:themeFill="text2" w:themeFillTint="32"/>
              <w:rPr>
                <w:lang w:eastAsia="ja-JP"/>
              </w:rPr>
            </w:pPr>
            <w:r>
              <w:rPr>
                <w:highlight w:val="none"/>
              </w:rPr>
              <w:t>1</w:t>
            </w:r>
          </w:p>
        </w:tc>
        <w:tc>
          <w:tcPr>
            <w:tcW w:w="649" w:type="dxa"/>
            <w:vAlign w:val="center"/>
          </w:tcPr>
          <w:p>
            <w:pPr>
              <w:shd w:val="clear" w:color="auto" w:fill="C7DAF1" w:themeFill="text2" w:themeFillTint="32"/>
              <w:rPr>
                <w:lang w:eastAsia="ja-JP"/>
              </w:rPr>
            </w:pPr>
            <w:r>
              <w:rPr>
                <w:highlight w:val="none"/>
              </w:rPr>
              <w:t>1</w:t>
            </w:r>
          </w:p>
        </w:tc>
        <w:tc>
          <w:tcPr>
            <w:tcW w:w="650" w:type="dxa"/>
            <w:vAlign w:val="center"/>
          </w:tcPr>
          <w:p>
            <w:pPr>
              <w:shd w:val="clear" w:color="auto" w:fill="C7DAF1" w:themeFill="text2" w:themeFillTint="32"/>
              <w:rPr>
                <w:lang w:eastAsia="ja-JP"/>
              </w:rPr>
            </w:pPr>
            <w:r>
              <w:rPr>
                <w:highlight w:val="none"/>
              </w:rPr>
              <w:t>1</w:t>
            </w:r>
          </w:p>
        </w:tc>
        <w:tc>
          <w:tcPr>
            <w:tcW w:w="650" w:type="dxa"/>
            <w:vAlign w:val="center"/>
          </w:tcPr>
          <w:p>
            <w:pPr>
              <w:shd w:val="clear" w:color="auto" w:fill="C7DAF1" w:themeFill="text2" w:themeFillTint="32"/>
              <w:rPr>
                <w:lang w:eastAsia="ja-JP"/>
              </w:rPr>
            </w:pPr>
            <w:r>
              <w:rPr>
                <w:highlight w:val="none"/>
              </w:rPr>
              <w:t>1</w:t>
            </w:r>
          </w:p>
        </w:tc>
        <w:tc>
          <w:tcPr>
            <w:tcW w:w="649" w:type="dxa"/>
            <w:vAlign w:val="center"/>
          </w:tcPr>
          <w:p>
            <w:pPr>
              <w:shd w:val="clear" w:color="auto" w:fill="C7DAF1" w:themeFill="text2" w:themeFillTint="32"/>
              <w:rPr>
                <w:lang w:eastAsia="ja-JP"/>
              </w:rPr>
            </w:pPr>
            <w:r>
              <w:rPr>
                <w:highlight w:val="none"/>
              </w:rPr>
              <w:t>1</w:t>
            </w:r>
          </w:p>
        </w:tc>
        <w:tc>
          <w:tcPr>
            <w:tcW w:w="650" w:type="dxa"/>
            <w:vAlign w:val="center"/>
          </w:tcPr>
          <w:p>
            <w:pPr>
              <w:shd w:val="clear" w:color="auto" w:fill="C7DAF1" w:themeFill="text2" w:themeFillTint="32"/>
              <w:rPr>
                <w:lang w:eastAsia="ja-JP"/>
              </w:rPr>
            </w:pPr>
            <w:r>
              <w:rPr>
                <w:highlight w:val="none"/>
              </w:rPr>
              <w:t>4</w:t>
            </w:r>
          </w:p>
        </w:tc>
        <w:tc>
          <w:tcPr>
            <w:tcW w:w="650" w:type="dxa"/>
            <w:vAlign w:val="center"/>
          </w:tcPr>
          <w:p>
            <w:pPr>
              <w:shd w:val="clear" w:color="auto" w:fill="C7DAF1" w:themeFill="text2" w:themeFillTint="32"/>
              <w:rPr>
                <w:lang w:eastAsia="ja-JP"/>
              </w:rPr>
            </w:pPr>
            <w:r>
              <w:rPr>
                <w:highlight w:val="none"/>
              </w:rPr>
              <w:t>1</w:t>
            </w:r>
          </w:p>
        </w:tc>
        <w:tc>
          <w:tcPr>
            <w:tcW w:w="649" w:type="dxa"/>
            <w:vAlign w:val="center"/>
          </w:tcPr>
          <w:p>
            <w:pPr>
              <w:shd w:val="clear" w:color="auto" w:fill="C7DAF1" w:themeFill="text2" w:themeFillTint="32"/>
              <w:rPr>
                <w:lang w:eastAsia="ja-JP"/>
              </w:rPr>
            </w:pPr>
            <w:r>
              <w:rPr>
                <w:highlight w:val="none"/>
              </w:rPr>
              <w:t>1</w:t>
            </w:r>
          </w:p>
        </w:tc>
        <w:tc>
          <w:tcPr>
            <w:tcW w:w="650" w:type="dxa"/>
            <w:vAlign w:val="center"/>
          </w:tcPr>
          <w:p>
            <w:pPr>
              <w:shd w:val="clear" w:color="auto" w:fill="C7DAF1" w:themeFill="text2" w:themeFillTint="32"/>
              <w:rPr>
                <w:lang w:eastAsia="ja-JP"/>
              </w:rPr>
            </w:pPr>
            <w:r>
              <w:rPr>
                <w:highlight w:val="none"/>
              </w:rPr>
              <w:t>1</w:t>
            </w:r>
          </w:p>
        </w:tc>
        <w:tc>
          <w:tcPr>
            <w:tcW w:w="650" w:type="dxa"/>
            <w:vAlign w:val="center"/>
          </w:tcPr>
          <w:p>
            <w:pPr>
              <w:shd w:val="clear" w:color="auto" w:fill="C7DAF1" w:themeFill="text2" w:themeFillTint="32"/>
              <w:rPr>
                <w:lang w:eastAsia="ja-JP"/>
              </w:rPr>
            </w:pPr>
            <w:r>
              <w:rPr>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highlight w:val="none"/>
              </w:rPr>
              <w:t>9.1</w:t>
            </w:r>
          </w:p>
        </w:tc>
        <w:tc>
          <w:tcPr>
            <w:tcW w:w="650" w:type="dxa"/>
            <w:vAlign w:val="center"/>
          </w:tcPr>
          <w:p>
            <w:pPr>
              <w:shd w:val="clear" w:color="auto" w:fill="C7DAF1" w:themeFill="text2" w:themeFillTint="32"/>
              <w:rPr>
                <w:lang w:eastAsia="ja-JP"/>
              </w:rPr>
            </w:pPr>
            <w:r>
              <w:rPr>
                <w:rFonts w:hint="eastAsia"/>
                <w:highlight w:val="none"/>
              </w:rPr>
              <w:t>9.2</w:t>
            </w:r>
          </w:p>
        </w:tc>
        <w:tc>
          <w:tcPr>
            <w:tcW w:w="650" w:type="dxa"/>
            <w:vAlign w:val="center"/>
          </w:tcPr>
          <w:p>
            <w:pPr>
              <w:shd w:val="clear" w:color="auto" w:fill="C7DAF1" w:themeFill="text2" w:themeFillTint="32"/>
              <w:rPr>
                <w:lang w:eastAsia="ja-JP"/>
              </w:rPr>
            </w:pPr>
            <w:r>
              <w:rPr>
                <w:rFonts w:hint="eastAsia"/>
                <w:highlight w:val="none"/>
              </w:rPr>
              <w:t>9.3</w:t>
            </w:r>
          </w:p>
        </w:tc>
        <w:tc>
          <w:tcPr>
            <w:tcW w:w="649" w:type="dxa"/>
            <w:vAlign w:val="center"/>
          </w:tcPr>
          <w:p>
            <w:pPr>
              <w:shd w:val="clear" w:color="auto" w:fill="C7DAF1" w:themeFill="text2" w:themeFillTint="32"/>
              <w:rPr>
                <w:lang w:eastAsia="ja-JP"/>
              </w:rPr>
            </w:pPr>
            <w:r>
              <w:rPr>
                <w:rFonts w:hint="eastAsia"/>
                <w:highlight w:val="none"/>
              </w:rPr>
              <w:t>10.1</w:t>
            </w:r>
          </w:p>
        </w:tc>
        <w:tc>
          <w:tcPr>
            <w:tcW w:w="650" w:type="dxa"/>
            <w:vAlign w:val="center"/>
          </w:tcPr>
          <w:p>
            <w:pPr>
              <w:shd w:val="clear" w:color="auto" w:fill="C7DAF1" w:themeFill="text2" w:themeFillTint="32"/>
              <w:rPr>
                <w:lang w:eastAsia="ja-JP"/>
              </w:rPr>
            </w:pPr>
            <w:r>
              <w:rPr>
                <w:rFonts w:hint="eastAsia"/>
                <w:highlight w:val="none"/>
              </w:rPr>
              <w:t>10.2</w:t>
            </w:r>
          </w:p>
        </w:tc>
        <w:tc>
          <w:tcPr>
            <w:tcW w:w="650" w:type="dxa"/>
            <w:vAlign w:val="center"/>
          </w:tcPr>
          <w:p>
            <w:pPr>
              <w:shd w:val="clear" w:color="auto" w:fill="C7DAF1" w:themeFill="text2" w:themeFillTint="32"/>
              <w:rPr>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highlight w:val="none"/>
              </w:rPr>
              <w:t>1</w:t>
            </w:r>
          </w:p>
        </w:tc>
        <w:tc>
          <w:tcPr>
            <w:tcW w:w="650" w:type="dxa"/>
            <w:vAlign w:val="center"/>
          </w:tcPr>
          <w:p>
            <w:pPr>
              <w:shd w:val="clear" w:color="auto" w:fill="C7DAF1" w:themeFill="text2" w:themeFillTint="32"/>
              <w:rPr>
                <w:lang w:eastAsia="ja-JP"/>
              </w:rPr>
            </w:pPr>
            <w:r>
              <w:rPr>
                <w:highlight w:val="none"/>
              </w:rPr>
              <w:t>1</w:t>
            </w:r>
          </w:p>
        </w:tc>
        <w:tc>
          <w:tcPr>
            <w:tcW w:w="649" w:type="dxa"/>
            <w:vAlign w:val="center"/>
          </w:tcPr>
          <w:p>
            <w:pPr>
              <w:shd w:val="clear" w:color="auto" w:fill="C7DAF1" w:themeFill="text2" w:themeFillTint="32"/>
              <w:rPr>
                <w:lang w:eastAsia="ja-JP"/>
              </w:rPr>
            </w:pPr>
            <w:r>
              <w:rPr>
                <w:highlight w:val="none"/>
              </w:rPr>
              <w:t>1</w:t>
            </w:r>
          </w:p>
        </w:tc>
        <w:tc>
          <w:tcPr>
            <w:tcW w:w="650" w:type="dxa"/>
            <w:vAlign w:val="center"/>
          </w:tcPr>
          <w:p>
            <w:pPr>
              <w:shd w:val="clear" w:color="auto" w:fill="C7DAF1" w:themeFill="text2" w:themeFillTint="32"/>
              <w:rPr>
                <w:lang w:eastAsia="ja-JP"/>
              </w:rPr>
            </w:pPr>
            <w:r>
              <w:rPr>
                <w:highlight w:val="none"/>
              </w:rPr>
              <w:t>1</w:t>
            </w:r>
          </w:p>
        </w:tc>
        <w:tc>
          <w:tcPr>
            <w:tcW w:w="650" w:type="dxa"/>
            <w:vAlign w:val="center"/>
          </w:tcPr>
          <w:p>
            <w:pPr>
              <w:shd w:val="clear" w:color="auto" w:fill="C7DAF1" w:themeFill="text2" w:themeFillTint="32"/>
              <w:rPr>
                <w:lang w:eastAsia="ja-JP"/>
              </w:rPr>
            </w:pPr>
            <w:r>
              <w:rPr>
                <w:highlight w:val="none"/>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7452CA"/>
    <w:multiLevelType w:val="singleLevel"/>
    <w:tmpl w:val="E17452CA"/>
    <w:lvl w:ilvl="0" w:tentative="0">
      <w:start w:val="1"/>
      <w:numFmt w:val="decimal"/>
      <w:suff w:val="nothing"/>
      <w:lvlText w:val="%1、"/>
      <w:lvlJc w:val="left"/>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IzNjhjZjkxMjg2OGJjOTQ0NThhNzBhOGI4YTVmYWYifQ=="/>
  </w:docVars>
  <w:rsids>
    <w:rsidRoot w:val="00000000"/>
    <w:rsid w:val="034B2E38"/>
    <w:rsid w:val="04075F4B"/>
    <w:rsid w:val="1E407A47"/>
    <w:rsid w:val="25156BB8"/>
    <w:rsid w:val="2E62055B"/>
    <w:rsid w:val="309D4424"/>
    <w:rsid w:val="34EF39F5"/>
    <w:rsid w:val="425B2FFF"/>
    <w:rsid w:val="45E07589"/>
    <w:rsid w:val="4BA73ED6"/>
    <w:rsid w:val="51A91155"/>
    <w:rsid w:val="57FB5D50"/>
    <w:rsid w:val="5AC44942"/>
    <w:rsid w:val="5D1E0B87"/>
    <w:rsid w:val="6637314C"/>
    <w:rsid w:val="66F81DD8"/>
    <w:rsid w:val="6E1E5318"/>
    <w:rsid w:val="7A8C48BA"/>
    <w:rsid w:val="7B2728B8"/>
    <w:rsid w:val="7E0E02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rPr>
      <w:sz w:val="24"/>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18566</Words>
  <Characters>19231</Characters>
  <Lines>150</Lines>
  <Paragraphs>42</Paragraphs>
  <TotalTime>1</TotalTime>
  <ScaleCrop>false</ScaleCrop>
  <LinksUpToDate>false</LinksUpToDate>
  <CharactersWithSpaces>19352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誰汻誰天荒地鮱</cp:lastModifiedBy>
  <cp:lastPrinted>2019-05-13T03:19:00Z</cp:lastPrinted>
  <dcterms:modified xsi:type="dcterms:W3CDTF">2022-10-24T09:02:06Z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