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杭州网渔农副产品有限公司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2022-11-01至2022-11-03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892175" cy="516890"/>
                  <wp:effectExtent l="0" t="0" r="3175" b="6985"/>
                  <wp:docPr id="1" name="图片 1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17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2022-11-03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581D0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2022-11-02T04:00:10Z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2052-11.1.0.12598</vt:lpwstr>
  </property>
</Properties>
</file>