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1122-2022-EnMS</w:t>
      </w:r>
      <w:bookmarkEnd w:id="0"/>
    </w:p>
    <w:p>
      <w:pPr>
        <w:jc w:val="left"/>
        <w:rPr>
          <w:rFonts w:hint="eastAsia"/>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四川祥和鸟服饰有限公司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能源管理体系（EnMS）</w:t>
      </w:r>
    </w:p>
    <w:p>
      <w:pPr>
        <w:jc w:val="left"/>
        <w:rPr>
          <w:sz w:val="28"/>
          <w:szCs w:val="28"/>
        </w:rPr>
      </w:pPr>
    </w:p>
    <w:p>
      <w:pPr>
        <w:pStyle w:val="14"/>
      </w:pPr>
    </w:p>
    <w:p>
      <w:pPr>
        <w:pStyle w:val="14"/>
      </w:pPr>
    </w:p>
    <w:p>
      <w:pPr>
        <w:pStyle w:val="14"/>
      </w:pPr>
    </w:p>
    <w:p>
      <w:pPr>
        <w:pStyle w:val="14"/>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四川祥和鸟服饰有限公司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成都市温江区成都海峡两岸科技产业开发园温泉大道</w:t>
            </w:r>
            <w:bookmarkEnd w:id="6"/>
          </w:p>
        </w:tc>
        <w:tc>
          <w:tcPr>
            <w:tcW w:w="1242" w:type="dxa"/>
            <w:vMerge w:val="restart"/>
            <w:vAlign w:val="center"/>
          </w:tcPr>
          <w:p>
            <w:r>
              <w:rPr>
                <w:rFonts w:hint="eastAsia"/>
              </w:rPr>
              <w:t>邮编</w:t>
            </w:r>
          </w:p>
        </w:tc>
        <w:tc>
          <w:tcPr>
            <w:tcW w:w="1771" w:type="dxa"/>
          </w:tcPr>
          <w:p>
            <w:bookmarkStart w:id="7" w:name="注册邮编"/>
            <w:r>
              <w:t>61000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成都市温江区成都海峡两岸科技产业开发园温泉大道</w:t>
            </w:r>
            <w:bookmarkEnd w:id="8"/>
            <w:r>
              <w:rPr>
                <w:rFonts w:hint="eastAsia" w:ascii="Times New Roman" w:hAnsi="Times New Roman" w:eastAsia="宋体" w:cs="Times New Roman"/>
                <w:sz w:val="21"/>
                <w:szCs w:val="21"/>
              </w:rPr>
              <w:t>三段檬桥路558号</w:t>
            </w:r>
          </w:p>
        </w:tc>
        <w:tc>
          <w:tcPr>
            <w:tcW w:w="1242" w:type="dxa"/>
            <w:vMerge w:val="continue"/>
            <w:vAlign w:val="center"/>
          </w:tcPr>
          <w:p/>
        </w:tc>
        <w:tc>
          <w:tcPr>
            <w:tcW w:w="1771" w:type="dxa"/>
          </w:tcPr>
          <w:p>
            <w:bookmarkStart w:id="9" w:name="办公邮编"/>
            <w:r>
              <w:t>61000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王晴</w:t>
            </w:r>
            <w:bookmarkEnd w:id="10"/>
          </w:p>
        </w:tc>
        <w:tc>
          <w:tcPr>
            <w:tcW w:w="1313" w:type="dxa"/>
            <w:vAlign w:val="center"/>
          </w:tcPr>
          <w:p>
            <w:r>
              <w:rPr>
                <w:rFonts w:hint="eastAsia"/>
              </w:rPr>
              <w:t>电话.</w:t>
            </w:r>
          </w:p>
        </w:tc>
        <w:tc>
          <w:tcPr>
            <w:tcW w:w="2180" w:type="dxa"/>
            <w:vAlign w:val="center"/>
          </w:tcPr>
          <w:p>
            <w:bookmarkStart w:id="11" w:name="联系人电话"/>
            <w:r>
              <w:t>18181975085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陈孟其</w:t>
            </w:r>
            <w:bookmarkEnd w:id="13"/>
          </w:p>
        </w:tc>
        <w:tc>
          <w:tcPr>
            <w:tcW w:w="1313" w:type="dxa"/>
            <w:vAlign w:val="center"/>
          </w:tcPr>
          <w:p>
            <w:r>
              <w:rPr>
                <w:rFonts w:hint="eastAsia"/>
              </w:rPr>
              <w:t>管理者代表</w:t>
            </w:r>
          </w:p>
        </w:tc>
        <w:tc>
          <w:tcPr>
            <w:tcW w:w="2180" w:type="dxa"/>
          </w:tcPr>
          <w:p>
            <w:bookmarkStart w:id="14" w:name="管理者代表"/>
            <w:r>
              <w:t>郭志清</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工艺流程：外购面料→裁剪→缝制→整烫→包装→出库</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2"/>
        <w:gridCol w:w="2733"/>
        <w:gridCol w:w="1883"/>
        <w:gridCol w:w="1404"/>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审核日期</w:t>
            </w:r>
          </w:p>
        </w:tc>
        <w:tc>
          <w:tcPr>
            <w:tcW w:w="7831" w:type="dxa"/>
            <w:gridSpan w:val="4"/>
            <w:tcMar>
              <w:left w:w="113" w:type="dxa"/>
            </w:tcMar>
          </w:tcPr>
          <w:p>
            <w:bookmarkStart w:id="15" w:name="审核日期"/>
            <w:r>
              <w:rPr>
                <w:rFonts w:hint="eastAsia"/>
              </w:rPr>
              <w:t>2022年10月20日 上午至2022年10月21日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tcPr>
          <w:p>
            <w:r>
              <w:rPr>
                <w:rFonts w:hint="eastAsia"/>
              </w:rPr>
              <w:t>审核目的</w:t>
            </w:r>
          </w:p>
        </w:tc>
        <w:tc>
          <w:tcPr>
            <w:tcW w:w="7831" w:type="dxa"/>
            <w:gridSpan w:val="4"/>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tcPr>
          <w:p>
            <w:r>
              <w:rPr>
                <w:rFonts w:hint="eastAsia"/>
              </w:rPr>
              <w:t>审核准则</w:t>
            </w:r>
          </w:p>
          <w:p/>
        </w:tc>
        <w:tc>
          <w:tcPr>
            <w:tcW w:w="7831" w:type="dxa"/>
            <w:gridSpan w:val="4"/>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rPr>
              <w:sym w:font="Wingdings 2" w:char="0052"/>
            </w:r>
            <w:r>
              <w:rPr>
                <w:rFonts w:hint="eastAsia"/>
              </w:rPr>
              <w:t>GB/T 23331-2020/</w:t>
            </w:r>
            <w:r>
              <w:rPr>
                <w:rFonts w:hint="eastAsia"/>
                <w:lang w:val="de-DE"/>
              </w:rPr>
              <w:t>ISO50001：2018标准</w:t>
            </w:r>
          </w:p>
          <w:p>
            <w:r>
              <w:rPr>
                <w:rFonts w:hint="eastAsia"/>
                <w:lang w:val="de-DE"/>
              </w:rPr>
              <w:sym w:font="Wingdings 2" w:char="0052"/>
            </w:r>
            <w:r>
              <w:rPr>
                <w:rFonts w:hint="eastAsia"/>
                <w:lang w:val="de-DE"/>
              </w:rPr>
              <w:t xml:space="preserve">RB/T </w:t>
            </w:r>
            <w:r>
              <w:rPr>
                <w:rFonts w:hint="eastAsia"/>
                <w:lang w:val="en-US" w:eastAsia="zh-CN"/>
              </w:rPr>
              <w:t>102-2013</w:t>
            </w:r>
            <w:r>
              <w:rPr>
                <w:rFonts w:hint="eastAsia"/>
                <w:lang w:val="de-DE"/>
              </w:rPr>
              <w:t xml:space="preserve">      </w:t>
            </w:r>
            <w:r>
              <w:rPr>
                <w:rFonts w:hint="eastAsia"/>
              </w:rPr>
              <w:t>(</w:t>
            </w:r>
            <w:r>
              <w:rPr>
                <w:rFonts w:hint="eastAsia"/>
                <w:lang w:val="de-DE"/>
              </w:rPr>
              <w:t>行业认证标准</w:t>
            </w:r>
            <w:r>
              <w:rPr>
                <w:rFonts w:hint="eastAsia"/>
              </w:rPr>
              <w:t>)</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vAlign w:val="center"/>
          </w:tcPr>
          <w:p>
            <w:r>
              <w:rPr>
                <w:rFonts w:hint="eastAsia"/>
              </w:rPr>
              <w:t>审核方式</w:t>
            </w:r>
          </w:p>
        </w:tc>
        <w:tc>
          <w:tcPr>
            <w:tcW w:w="7831" w:type="dxa"/>
            <w:gridSpan w:val="4"/>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ascii="宋体" w:hAnsi="宋体" w:cs="宋体"/>
                <w:color w:val="000000"/>
                <w:kern w:val="0"/>
                <w:szCs w:val="21"/>
              </w:rPr>
              <w:t>审核方法</w:t>
            </w:r>
          </w:p>
        </w:tc>
        <w:tc>
          <w:tcPr>
            <w:tcW w:w="7831" w:type="dxa"/>
            <w:gridSpan w:val="4"/>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审核类型</w:t>
            </w:r>
          </w:p>
        </w:tc>
        <w:tc>
          <w:tcPr>
            <w:tcW w:w="7831" w:type="dxa"/>
            <w:gridSpan w:val="4"/>
            <w:tcMar>
              <w:left w:w="113" w:type="dxa"/>
            </w:tcMar>
          </w:tcPr>
          <w:p>
            <w:bookmarkStart w:id="24" w:name="初审Add1"/>
            <w:r>
              <w:rPr>
                <w:rFonts w:hint="eastAsia"/>
              </w:rPr>
              <w:t>■</w:t>
            </w:r>
            <w:bookmarkEnd w:id="24"/>
            <w:r>
              <w:rPr>
                <w:rFonts w:hint="eastAsia"/>
              </w:rPr>
              <w:t>初审二阶段</w:t>
            </w:r>
            <w:bookmarkStart w:id="25" w:name="监督勾选"/>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4"/>
            <w:tcMar>
              <w:left w:w="113" w:type="dxa"/>
            </w:tcMar>
            <w:vAlign w:val="top"/>
          </w:tcPr>
          <w:p>
            <w:pPr>
              <w:rPr>
                <w:rFonts w:ascii="宋体"/>
                <w:b/>
                <w:color w:val="0000FF"/>
                <w:szCs w:val="21"/>
              </w:rPr>
            </w:pPr>
            <w:r>
              <w:rPr>
                <w:rFonts w:hint="eastAsia" w:ascii="宋体"/>
                <w:b/>
                <w:color w:val="0000FF"/>
                <w:szCs w:val="21"/>
                <w:lang w:val="en-US" w:eastAsia="zh-CN"/>
              </w:rPr>
              <w:t>河北省石家庄市/深圳市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tcPr>
          <w:p>
            <w:pPr>
              <w:rPr>
                <w:rFonts w:ascii="宋体"/>
                <w:b/>
                <w:color w:val="0000FF"/>
                <w:szCs w:val="21"/>
              </w:rPr>
            </w:pPr>
            <w:r>
              <w:rPr>
                <w:rFonts w:hint="eastAsia" w:ascii="宋体"/>
                <w:b/>
                <w:color w:val="0000FF"/>
                <w:szCs w:val="21"/>
              </w:rPr>
              <w:t>远程审核方式</w:t>
            </w:r>
          </w:p>
        </w:tc>
        <w:tc>
          <w:tcPr>
            <w:tcW w:w="7831" w:type="dxa"/>
            <w:gridSpan w:val="4"/>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信息安全的控制</w:t>
            </w:r>
          </w:p>
        </w:tc>
        <w:tc>
          <w:tcPr>
            <w:tcW w:w="7831" w:type="dxa"/>
            <w:gridSpan w:val="4"/>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exact"/>
        </w:trPr>
        <w:tc>
          <w:tcPr>
            <w:tcW w:w="1632" w:type="dxa"/>
          </w:tcPr>
          <w:p>
            <w:pPr>
              <w:rPr>
                <w:rFonts w:ascii="宋体"/>
                <w:b/>
                <w:color w:val="0000FF"/>
                <w:szCs w:val="21"/>
              </w:rPr>
            </w:pPr>
            <w:r>
              <w:rPr>
                <w:rFonts w:hint="eastAsia" w:ascii="宋体"/>
                <w:b/>
                <w:color w:val="0000FF"/>
                <w:szCs w:val="21"/>
              </w:rPr>
              <w:t>远程审核资源</w:t>
            </w:r>
          </w:p>
        </w:tc>
        <w:tc>
          <w:tcPr>
            <w:tcW w:w="7831" w:type="dxa"/>
            <w:gridSpan w:val="4"/>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32" w:type="dxa"/>
            <w:vMerge w:val="restart"/>
            <w:vAlign w:val="center"/>
          </w:tcPr>
          <w:p>
            <w:r>
              <w:rPr>
                <w:rFonts w:hint="eastAsia"/>
              </w:rPr>
              <w:t>审核范围</w:t>
            </w:r>
          </w:p>
          <w:p/>
        </w:tc>
        <w:tc>
          <w:tcPr>
            <w:tcW w:w="6020" w:type="dxa"/>
            <w:gridSpan w:val="3"/>
            <w:vMerge w:val="restart"/>
            <w:vAlign w:val="center"/>
          </w:tcPr>
          <w:p>
            <w:r>
              <w:rPr>
                <w:rFonts w:hint="eastAsia" w:ascii="Times New Roman" w:hAnsi="Times New Roman" w:eastAsia="宋体" w:cs="Times New Roman"/>
              </w:rPr>
              <w:t>西服、衬衫、职业标志服、一般防护服、特种防护服（阻燃、防酸碱、防静电）、校服、大衣、防寒服（含羽绒服）和户外服（含冲锋衣)的生产所涉及的能源管理活动</w:t>
            </w:r>
          </w:p>
        </w:tc>
        <w:tc>
          <w:tcPr>
            <w:tcW w:w="1811"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32" w:type="dxa"/>
            <w:vMerge w:val="continue"/>
            <w:vAlign w:val="center"/>
          </w:tcPr>
          <w:p/>
        </w:tc>
        <w:tc>
          <w:tcPr>
            <w:tcW w:w="6020" w:type="dxa"/>
            <w:gridSpan w:val="3"/>
            <w:vMerge w:val="continue"/>
            <w:vAlign w:val="center"/>
          </w:tcPr>
          <w:p/>
        </w:tc>
        <w:tc>
          <w:tcPr>
            <w:tcW w:w="1811" w:type="dxa"/>
            <w:vAlign w:val="center"/>
          </w:tcPr>
          <w:p>
            <w:bookmarkStart w:id="29" w:name="专业代码"/>
            <w:r>
              <w:t>2.5</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不适用ISO9001的条款</w:t>
            </w:r>
          </w:p>
        </w:tc>
        <w:tc>
          <w:tcPr>
            <w:tcW w:w="7831" w:type="dxa"/>
            <w:gridSpan w:val="4"/>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不适用的理由（可多选）</w:t>
            </w:r>
          </w:p>
        </w:tc>
        <w:tc>
          <w:tcPr>
            <w:tcW w:w="7831" w:type="dxa"/>
            <w:gridSpan w:val="4"/>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15</w:t>
            </w:r>
            <w:r>
              <w:rPr>
                <w:rFonts w:hint="eastAsia"/>
              </w:rPr>
              <w:t>日</w:t>
            </w:r>
          </w:p>
          <w:p/>
        </w:tc>
        <w:tc>
          <w:tcPr>
            <w:tcW w:w="1883" w:type="dxa"/>
            <w:vAlign w:val="center"/>
          </w:tcPr>
          <w:p>
            <w:r>
              <w:rPr>
                <w:rFonts w:hint="eastAsia"/>
                <w:b/>
                <w:bCs/>
              </w:rPr>
              <w:t>能源管理体系运行已超过6个月</w:t>
            </w:r>
          </w:p>
        </w:tc>
        <w:tc>
          <w:tcPr>
            <w:tcW w:w="3215" w:type="dxa"/>
            <w:gridSpan w:val="2"/>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gridSpan w:val="2"/>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699"/>
        <w:gridCol w:w="1809"/>
        <w:gridCol w:w="973"/>
        <w:gridCol w:w="2981"/>
        <w:gridCol w:w="111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699" w:type="dxa"/>
            <w:shd w:val="clear" w:color="auto" w:fill="F3F3F3"/>
            <w:tcMar>
              <w:left w:w="57" w:type="dxa"/>
              <w:right w:w="57" w:type="dxa"/>
            </w:tcMar>
          </w:tcPr>
          <w:p>
            <w:r>
              <w:rPr>
                <w:rFonts w:hint="eastAsia"/>
              </w:rPr>
              <w:t>组织名称及注册场所地址</w:t>
            </w:r>
          </w:p>
        </w:tc>
        <w:tc>
          <w:tcPr>
            <w:tcW w:w="1809" w:type="dxa"/>
            <w:shd w:val="clear" w:color="auto" w:fill="F3F3F3"/>
            <w:tcMar>
              <w:left w:w="57" w:type="dxa"/>
              <w:right w:w="57" w:type="dxa"/>
            </w:tcMar>
          </w:tcPr>
          <w:p>
            <w:r>
              <w:rPr>
                <w:rFonts w:hint="eastAsia"/>
              </w:rPr>
              <w:t>经营场所的地址</w:t>
            </w:r>
          </w:p>
          <w:p>
            <w:r>
              <w:rPr>
                <w:rFonts w:hint="eastAsia"/>
              </w:rPr>
              <w:t>（多现场和临时现场）</w:t>
            </w:r>
          </w:p>
        </w:tc>
        <w:tc>
          <w:tcPr>
            <w:tcW w:w="973" w:type="dxa"/>
            <w:shd w:val="clear" w:color="auto" w:fill="F3F3F3"/>
            <w:tcMar>
              <w:left w:w="57" w:type="dxa"/>
              <w:right w:w="57" w:type="dxa"/>
            </w:tcMar>
          </w:tcPr>
          <w:p>
            <w:r>
              <w:rPr>
                <w:rFonts w:hint="eastAsia"/>
              </w:rPr>
              <w:t>员工人数</w:t>
            </w:r>
          </w:p>
        </w:tc>
        <w:tc>
          <w:tcPr>
            <w:tcW w:w="2981"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115"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699" w:type="dxa"/>
            <w:vAlign w:val="top"/>
          </w:tcPr>
          <w:p>
            <w:pPr>
              <w:spacing w:before="40" w:after="40"/>
              <w:rPr>
                <w:rFonts w:hint="eastAsia" w:ascii="Times New Roman" w:hAnsi="Times New Roman" w:eastAsia="宋体" w:cs="Times New Roman"/>
                <w:kern w:val="2"/>
                <w:sz w:val="21"/>
                <w:szCs w:val="21"/>
                <w:lang w:val="de-DE" w:eastAsia="ja-JP" w:bidi="ar-SA"/>
              </w:rPr>
            </w:pPr>
            <w:r>
              <w:rPr>
                <w:sz w:val="21"/>
                <w:szCs w:val="21"/>
              </w:rPr>
              <w:t>四川祥和鸟服饰有限公司</w:t>
            </w:r>
            <w:r>
              <w:rPr>
                <w:rFonts w:hint="eastAsia"/>
                <w:sz w:val="21"/>
                <w:szCs w:val="21"/>
                <w:lang w:val="en-US" w:eastAsia="zh-CN"/>
              </w:rPr>
              <w:t>/</w:t>
            </w:r>
            <w:r>
              <w:rPr>
                <w:sz w:val="21"/>
                <w:szCs w:val="21"/>
              </w:rPr>
              <w:t>成都市温江区成都海峡两岸科技产业开发园温泉大道</w:t>
            </w:r>
          </w:p>
        </w:tc>
        <w:tc>
          <w:tcPr>
            <w:tcW w:w="1809" w:type="dxa"/>
            <w:vAlign w:val="top"/>
          </w:tcPr>
          <w:p>
            <w:pPr>
              <w:spacing w:before="40" w:after="40"/>
              <w:rPr>
                <w:rFonts w:hint="default" w:ascii="Times New Roman" w:hAnsi="Times New Roman" w:eastAsia="宋体" w:cs="Times New Roman"/>
                <w:kern w:val="2"/>
                <w:sz w:val="21"/>
                <w:szCs w:val="21"/>
                <w:lang w:val="de-DE" w:eastAsia="ja-JP" w:bidi="ar-SA"/>
              </w:rPr>
            </w:pPr>
            <w:r>
              <w:rPr>
                <w:sz w:val="21"/>
                <w:szCs w:val="21"/>
              </w:rPr>
              <w:t>成都市温江区成都海峡两岸科技产业开发园温泉大道</w:t>
            </w:r>
            <w:r>
              <w:rPr>
                <w:rFonts w:hint="eastAsia" w:ascii="Times New Roman" w:hAnsi="Times New Roman" w:eastAsia="宋体" w:cs="Times New Roman"/>
                <w:sz w:val="21"/>
                <w:szCs w:val="21"/>
              </w:rPr>
              <w:t>三段檬桥路558号</w:t>
            </w:r>
          </w:p>
        </w:tc>
        <w:tc>
          <w:tcPr>
            <w:tcW w:w="973"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黑体" w:cs="Times New Roman"/>
                <w:kern w:val="2"/>
                <w:sz w:val="21"/>
                <w:szCs w:val="21"/>
                <w:lang w:val="en-US" w:eastAsia="ja-JP" w:bidi="ar-SA"/>
              </w:rPr>
            </w:pPr>
            <w:r>
              <w:rPr>
                <w:rFonts w:hint="eastAsia"/>
                <w:sz w:val="21"/>
                <w:szCs w:val="21"/>
                <w:lang w:val="en-US" w:eastAsia="zh-CN"/>
              </w:rPr>
              <w:t>能源体系覆盖人数60人</w:t>
            </w:r>
          </w:p>
        </w:tc>
        <w:tc>
          <w:tcPr>
            <w:tcW w:w="2981" w:type="dxa"/>
            <w:vAlign w:val="center"/>
          </w:tcPr>
          <w:p>
            <w:pPr>
              <w:pStyle w:val="23"/>
              <w:rPr>
                <w:rFonts w:ascii="Times New Roman" w:hAnsi="Times New Roman" w:eastAsia="黑体" w:cs="Arial"/>
                <w:kern w:val="2"/>
                <w:sz w:val="21"/>
                <w:szCs w:val="21"/>
                <w:lang w:val="en-US" w:eastAsia="ja-JP" w:bidi="ar-SA"/>
              </w:rPr>
            </w:pPr>
            <w:bookmarkStart w:id="30" w:name="审核范围"/>
            <w:r>
              <w:rPr>
                <w:sz w:val="20"/>
              </w:rPr>
              <w:t>西服、衬衫、职业标志服、一般防护服、特种防护服（阻燃、防酸碱、防静电）、校服、大衣、防寒服（含羽绒服）和户外服（含冲锋衣)的生产所涉及的能源管理活动</w:t>
            </w:r>
            <w:bookmarkEnd w:id="30"/>
          </w:p>
        </w:tc>
        <w:tc>
          <w:tcPr>
            <w:tcW w:w="1115" w:type="dxa"/>
            <w:vAlign w:val="center"/>
          </w:tcPr>
          <w:p>
            <w:pPr>
              <w:spacing w:before="40" w:after="40"/>
              <w:rPr>
                <w:rFonts w:hint="eastAsia"/>
                <w:lang w:val="en-US" w:eastAsia="zh-CN"/>
              </w:rPr>
            </w:pPr>
            <w:r>
              <w:rPr>
                <w:rFonts w:hint="eastAsia"/>
                <w:lang w:val="en-US" w:eastAsia="zh-CN"/>
              </w:rPr>
              <w:t>GB/T23331-2020</w:t>
            </w:r>
          </w:p>
          <w:p>
            <w:pPr>
              <w:pStyle w:val="2"/>
              <w:rPr>
                <w:rFonts w:ascii="Times New Roman" w:hAnsi="Times New Roman" w:eastAsia="黑体" w:cs="Times New Roman"/>
                <w:kern w:val="2"/>
                <w:sz w:val="21"/>
                <w:szCs w:val="21"/>
                <w:lang w:val="en-US" w:eastAsia="ja-JP" w:bidi="ar-SA"/>
              </w:rPr>
            </w:pPr>
            <w:r>
              <w:rPr>
                <w:rFonts w:hint="eastAsia" w:eastAsia="黑体"/>
                <w:szCs w:val="21"/>
                <w:lang w:val="en-US" w:eastAsia="zh-CN"/>
              </w:rPr>
              <w:t>RB/T102-2013</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02</w:t>
            </w:r>
          </w:p>
        </w:tc>
        <w:tc>
          <w:tcPr>
            <w:tcW w:w="1699" w:type="dxa"/>
            <w:vAlign w:val="center"/>
          </w:tcPr>
          <w:p>
            <w:pPr>
              <w:rPr>
                <w:lang w:eastAsia="ja-JP"/>
              </w:rPr>
            </w:pPr>
          </w:p>
        </w:tc>
        <w:tc>
          <w:tcPr>
            <w:tcW w:w="1809" w:type="dxa"/>
            <w:vAlign w:val="center"/>
          </w:tcPr>
          <w:p>
            <w:pPr>
              <w:rPr>
                <w:lang w:eastAsia="ja-JP"/>
              </w:rPr>
            </w:pPr>
          </w:p>
        </w:tc>
        <w:tc>
          <w:tcPr>
            <w:tcW w:w="973" w:type="dxa"/>
            <w:vAlign w:val="center"/>
          </w:tcPr>
          <w:p>
            <w:pPr>
              <w:rPr>
                <w:lang w:eastAsia="ja-JP"/>
              </w:rPr>
            </w:pPr>
          </w:p>
        </w:tc>
        <w:tc>
          <w:tcPr>
            <w:tcW w:w="2981" w:type="dxa"/>
            <w:vAlign w:val="center"/>
          </w:tcPr>
          <w:p>
            <w:pPr>
              <w:rPr>
                <w:lang w:eastAsia="ja-JP"/>
              </w:rPr>
            </w:pPr>
          </w:p>
        </w:tc>
        <w:tc>
          <w:tcPr>
            <w:tcW w:w="1115"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03</w:t>
            </w:r>
          </w:p>
        </w:tc>
        <w:tc>
          <w:tcPr>
            <w:tcW w:w="1699" w:type="dxa"/>
            <w:vAlign w:val="center"/>
          </w:tcPr>
          <w:p>
            <w:pPr>
              <w:rPr>
                <w:lang w:eastAsia="ja-JP"/>
              </w:rPr>
            </w:pPr>
          </w:p>
        </w:tc>
        <w:tc>
          <w:tcPr>
            <w:tcW w:w="1809" w:type="dxa"/>
            <w:vAlign w:val="center"/>
          </w:tcPr>
          <w:p>
            <w:pPr>
              <w:rPr>
                <w:lang w:eastAsia="ja-JP"/>
              </w:rPr>
            </w:pPr>
          </w:p>
        </w:tc>
        <w:tc>
          <w:tcPr>
            <w:tcW w:w="973" w:type="dxa"/>
            <w:vAlign w:val="center"/>
          </w:tcPr>
          <w:p>
            <w:pPr>
              <w:rPr>
                <w:lang w:eastAsia="ja-JP"/>
              </w:rPr>
            </w:pPr>
          </w:p>
        </w:tc>
        <w:tc>
          <w:tcPr>
            <w:tcW w:w="2981" w:type="dxa"/>
            <w:vAlign w:val="center"/>
          </w:tcPr>
          <w:p>
            <w:pPr>
              <w:rPr>
                <w:lang w:eastAsia="ja-JP"/>
              </w:rPr>
            </w:pPr>
          </w:p>
        </w:tc>
        <w:tc>
          <w:tcPr>
            <w:tcW w:w="1115"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04</w:t>
            </w:r>
          </w:p>
        </w:tc>
        <w:tc>
          <w:tcPr>
            <w:tcW w:w="1699" w:type="dxa"/>
            <w:vAlign w:val="center"/>
          </w:tcPr>
          <w:p>
            <w:pPr>
              <w:rPr>
                <w:lang w:eastAsia="ja-JP"/>
              </w:rPr>
            </w:pPr>
          </w:p>
        </w:tc>
        <w:tc>
          <w:tcPr>
            <w:tcW w:w="1809" w:type="dxa"/>
            <w:vAlign w:val="center"/>
          </w:tcPr>
          <w:p>
            <w:pPr>
              <w:rPr>
                <w:lang w:eastAsia="ja-JP"/>
              </w:rPr>
            </w:pPr>
          </w:p>
        </w:tc>
        <w:tc>
          <w:tcPr>
            <w:tcW w:w="973" w:type="dxa"/>
            <w:vAlign w:val="center"/>
          </w:tcPr>
          <w:p>
            <w:pPr>
              <w:rPr>
                <w:lang w:eastAsia="ja-JP"/>
              </w:rPr>
            </w:pPr>
          </w:p>
        </w:tc>
        <w:tc>
          <w:tcPr>
            <w:tcW w:w="2981" w:type="dxa"/>
            <w:vAlign w:val="center"/>
          </w:tcPr>
          <w:p>
            <w:pPr>
              <w:rPr>
                <w:lang w:eastAsia="ja-JP"/>
              </w:rPr>
            </w:pPr>
          </w:p>
        </w:tc>
        <w:tc>
          <w:tcPr>
            <w:tcW w:w="1115"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1699" w:type="dxa"/>
            <w:vAlign w:val="center"/>
          </w:tcPr>
          <w:p>
            <w:pPr>
              <w:rPr>
                <w:lang w:eastAsia="ja-JP"/>
              </w:rPr>
            </w:pPr>
          </w:p>
        </w:tc>
        <w:tc>
          <w:tcPr>
            <w:tcW w:w="1809" w:type="dxa"/>
            <w:vAlign w:val="center"/>
          </w:tcPr>
          <w:p>
            <w:pPr>
              <w:rPr>
                <w:lang w:eastAsia="ja-JP"/>
              </w:rPr>
            </w:pPr>
          </w:p>
        </w:tc>
        <w:tc>
          <w:tcPr>
            <w:tcW w:w="973" w:type="dxa"/>
            <w:vAlign w:val="center"/>
          </w:tcPr>
          <w:p>
            <w:pPr>
              <w:rPr>
                <w:lang w:eastAsia="ja-JP"/>
              </w:rPr>
            </w:pPr>
          </w:p>
        </w:tc>
        <w:tc>
          <w:tcPr>
            <w:tcW w:w="2981" w:type="dxa"/>
            <w:vAlign w:val="center"/>
          </w:tcPr>
          <w:p>
            <w:pPr>
              <w:rPr>
                <w:lang w:eastAsia="ja-JP"/>
              </w:rPr>
            </w:pPr>
          </w:p>
        </w:tc>
        <w:tc>
          <w:tcPr>
            <w:tcW w:w="1115"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2020-N1EnMS-3021820</w:t>
            </w:r>
          </w:p>
        </w:tc>
        <w:tc>
          <w:tcPr>
            <w:tcW w:w="2179" w:type="dxa"/>
            <w:vAlign w:val="center"/>
          </w:tcPr>
          <w:p>
            <w: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王宁敏</w:t>
            </w:r>
          </w:p>
        </w:tc>
        <w:tc>
          <w:tcPr>
            <w:tcW w:w="1089" w:type="dxa"/>
            <w:vAlign w:val="center"/>
          </w:tcPr>
          <w:p>
            <w:r>
              <w:t>组员</w:t>
            </w:r>
          </w:p>
        </w:tc>
        <w:tc>
          <w:tcPr>
            <w:tcW w:w="711" w:type="dxa"/>
            <w:vAlign w:val="center"/>
          </w:tcPr>
          <w:p>
            <w:r>
              <w:t>男</w:t>
            </w:r>
          </w:p>
        </w:tc>
        <w:tc>
          <w:tcPr>
            <w:tcW w:w="3870" w:type="dxa"/>
            <w:vAlign w:val="center"/>
          </w:tcPr>
          <w:p>
            <w:r>
              <w:t>2021-N1EnMS-3061496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Pr>
        <w:numPr>
          <w:ilvl w:val="0"/>
          <w:numId w:val="2"/>
        </w:numPr>
      </w:pPr>
      <w:r>
        <w:t>审核发现</w:t>
      </w:r>
      <w:r>
        <w:rPr>
          <w:rFonts w:hint="eastAsia"/>
        </w:rPr>
        <w:t>（见□QMS □EcMS□EMS□OHSMS</w:t>
      </w:r>
      <w:r>
        <w:rPr>
          <w:rFonts w:hint="eastAsia"/>
        </w:rPr>
        <w:sym w:font="Wingdings 2" w:char="0052"/>
      </w:r>
      <w:r>
        <w:rPr>
          <w:rFonts w:hint="eastAsia"/>
        </w:rPr>
        <w:t>EnMS□FSMS□HACCP的附件）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1312" behindDoc="0" locked="0" layoutInCell="1" allowOverlap="1">
                  <wp:simplePos x="0" y="0"/>
                  <wp:positionH relativeFrom="column">
                    <wp:posOffset>-288290</wp:posOffset>
                  </wp:positionH>
                  <wp:positionV relativeFrom="paragraph">
                    <wp:posOffset>6830060</wp:posOffset>
                  </wp:positionV>
                  <wp:extent cx="673100" cy="274955"/>
                  <wp:effectExtent l="0" t="0" r="0" b="3810"/>
                  <wp:wrapSquare wrapText="bothSides"/>
                  <wp:docPr id="3" name="图片 3"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丽英电子签"/>
                          <pic:cNvPicPr>
                            <a:picLocks noChangeAspect="1"/>
                          </pic:cNvPicPr>
                        </pic:nvPicPr>
                        <pic:blipFill>
                          <a:blip r:embed="rId6"/>
                          <a:stretch>
                            <a:fillRect/>
                          </a:stretch>
                        </pic:blipFill>
                        <pic:spPr>
                          <a:xfrm>
                            <a:off x="0" y="0"/>
                            <a:ext cx="673100" cy="27495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2022.10.21</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rPr>
                      <w:rFonts w:hint="eastAsia"/>
                    </w:rPr>
                    <w:t>活动、产品和服务</w:t>
                  </w:r>
                  <w:r>
                    <w:rPr>
                      <w:rFonts w:hint="eastAsia"/>
                    </w:rPr>
                    <w:sym w:font="Wingdings 2" w:char="0052"/>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lang w:val="en-US" w:eastAsia="zh-CN"/>
              </w:rPr>
              <w:t>服务过程</w:t>
            </w:r>
            <w:r>
              <w:rPr>
                <w:rFonts w:hint="eastAsia"/>
              </w:rPr>
              <w:sym w:font="Wingdings 2" w:char="0052"/>
            </w:r>
            <w:r>
              <w:rPr>
                <w:rFonts w:hint="eastAsia"/>
              </w:rPr>
              <w:t>检验</w:t>
            </w:r>
            <w:r>
              <w:rPr>
                <w:rFonts w:hint="eastAsia"/>
              </w:rPr>
              <w:sym w:font="Wingdings 2" w:char="0052"/>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节约资源□满足限额要求</w:t>
            </w:r>
            <w:r>
              <w:rPr>
                <w:rFonts w:hint="eastAsia"/>
              </w:rPr>
              <w:sym w:font="Wingdings 2" w:char="0052"/>
            </w:r>
            <w:r>
              <w:rPr>
                <w:rFonts w:hint="eastAsia"/>
              </w:rPr>
              <w:t>主要用能设备管理□能耗测量</w:t>
            </w:r>
          </w:p>
          <w:p>
            <w:pPr>
              <w:shd w:val="clear" w:color="auto" w:fill="EBF1DE" w:themeFill="accent3" w:themeFillTint="32"/>
              <w:spacing w:before="40" w:after="40"/>
            </w:pPr>
            <w:r>
              <w:rPr>
                <w:rFonts w:hint="eastAsia"/>
              </w:rPr>
              <w:sym w:font="Wingdings 2" w:char="00A3"/>
            </w: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rPr>
                <w:rFonts w:hint="default" w:eastAsia="宋体"/>
                <w:lang w:val="en-US" w:eastAsia="zh-CN"/>
              </w:rPr>
            </w:pPr>
            <w:r>
              <w:rPr>
                <w:rFonts w:hint="eastAsia"/>
              </w:rPr>
              <w:t>□生产/服务过程</w:t>
            </w:r>
            <w:r>
              <w:rPr>
                <w:rFonts w:hint="eastAsia"/>
              </w:rPr>
              <w:sym w:font="Wingdings 2" w:char="00A3"/>
            </w:r>
            <w:r>
              <w:rPr>
                <w:rFonts w:hint="eastAsia"/>
              </w:rPr>
              <w:t>能效监测</w:t>
            </w:r>
            <w:r>
              <w:rPr>
                <w:rFonts w:hint="eastAsia"/>
              </w:rPr>
              <w:sym w:font="Wingdings 2" w:char="00A3"/>
            </w:r>
            <w:r>
              <w:rPr>
                <w:rFonts w:hint="eastAsia"/>
              </w:rPr>
              <w:t>设备维修</w:t>
            </w:r>
            <w:r>
              <w:rPr>
                <w:rFonts w:hint="eastAsia"/>
              </w:rPr>
              <w:sym w:font="Wingdings 2" w:char="0052"/>
            </w:r>
            <w:r>
              <w:rPr>
                <w:rFonts w:hint="eastAsia"/>
              </w:rPr>
              <w:t>人员培训</w:t>
            </w:r>
            <w:r>
              <w:rPr>
                <w:rFonts w:hint="eastAsia"/>
              </w:rPr>
              <w:sym w:font="Wingdings 2" w:char="00A3"/>
            </w:r>
            <w:r>
              <w:rPr>
                <w:rFonts w:hint="eastAsia"/>
              </w:rPr>
              <w:t>其他</w:t>
            </w:r>
            <w:r>
              <w:rPr>
                <w:rFonts w:hint="eastAsia"/>
                <w:lang w:eastAsia="zh-CN"/>
              </w:rPr>
              <w:t>——</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w:t>
            </w:r>
            <w:r>
              <w:rPr>
                <w:rFonts w:hint="eastAsia"/>
                <w:highlight w:val="none"/>
              </w:rPr>
              <w:t>的管理体系方针：</w:t>
            </w:r>
            <w:r>
              <w:rPr>
                <w:rFonts w:hint="eastAsia" w:ascii="宋体" w:cs="宋体"/>
                <w:b/>
                <w:szCs w:val="21"/>
                <w:u w:val="none"/>
                <w:lang w:val="zh-CN"/>
              </w:rPr>
              <w:t>能源方针：</w:t>
            </w:r>
            <w:r>
              <w:rPr>
                <w:rFonts w:hint="eastAsia" w:ascii="宋体" w:cs="宋体"/>
                <w:b/>
                <w:szCs w:val="21"/>
                <w:u w:val="none"/>
              </w:rPr>
              <w:t>遵规</w:t>
            </w:r>
            <w:r>
              <w:rPr>
                <w:rFonts w:hint="eastAsia" w:ascii="宋体" w:cs="宋体"/>
                <w:b/>
                <w:szCs w:val="21"/>
                <w:u w:val="none"/>
                <w:lang w:val="zh-CN"/>
              </w:rPr>
              <w:t>守法，</w:t>
            </w:r>
            <w:r>
              <w:rPr>
                <w:rFonts w:hint="eastAsia" w:ascii="宋体" w:cs="宋体"/>
                <w:b/>
                <w:szCs w:val="21"/>
                <w:u w:val="none"/>
              </w:rPr>
              <w:t>节能降耗</w:t>
            </w:r>
            <w:r>
              <w:rPr>
                <w:rFonts w:hint="eastAsia" w:ascii="宋体" w:cs="宋体"/>
                <w:b/>
                <w:szCs w:val="21"/>
                <w:u w:val="none"/>
                <w:lang w:val="zh-CN"/>
              </w:rPr>
              <w:t>；</w:t>
            </w:r>
            <w:r>
              <w:rPr>
                <w:rFonts w:hint="eastAsia" w:ascii="宋体" w:cs="宋体"/>
                <w:b/>
                <w:szCs w:val="21"/>
                <w:u w:val="none"/>
              </w:rPr>
              <w:t>绿色环保，协调发展</w:t>
            </w:r>
          </w:p>
          <w:p>
            <w:pPr>
              <w:shd w:val="clear" w:color="auto" w:fill="EBF1DE" w:themeFill="accent3" w:themeFillTint="32"/>
              <w:rPr>
                <w:u w:val="single"/>
              </w:rPr>
            </w:pP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6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EnMS的主管部门是——</w:t>
            </w:r>
            <w:r>
              <w:rPr>
                <w:rFonts w:hint="eastAsia"/>
                <w:lang w:val="en-US" w:eastAsia="zh-CN"/>
              </w:rPr>
              <w:t xml:space="preserve">企管部  </w:t>
            </w:r>
            <w:r>
              <w:rPr>
                <w:rFonts w:hint="eastAsia"/>
              </w:rPr>
              <w:sym w:font="Wingdings 2" w:char="0052"/>
            </w:r>
            <w:r>
              <w:rPr>
                <w:rFonts w:hint="eastAsia"/>
              </w:rPr>
              <w:t>能源管理团队</w:t>
            </w:r>
            <w:r>
              <w:rPr>
                <w:rFonts w:hint="eastAsia"/>
                <w:lang w:eastAsia="zh-CN"/>
              </w:rPr>
              <w:t>——</w:t>
            </w:r>
            <w:r>
              <w:rPr>
                <w:rFonts w:hint="eastAsia"/>
                <w:lang w:val="en-US" w:eastAsia="zh-CN"/>
              </w:rPr>
              <w:t>生产部</w:t>
            </w:r>
          </w:p>
          <w:p>
            <w:pPr>
              <w:shd w:val="clear" w:color="auto" w:fill="EBF1DE" w:themeFill="accent3" w:themeFillTint="32"/>
              <w:rPr>
                <w:rFonts w:hint="default" w:eastAsia="宋体"/>
                <w:lang w:val="en-US" w:eastAsia="zh-CN"/>
              </w:rPr>
            </w:pPr>
            <w:r>
              <w:rPr>
                <w:rFonts w:hint="eastAsia"/>
              </w:rPr>
              <w:t>能源管理者代表是——</w:t>
            </w:r>
            <w:r>
              <w:rPr>
                <w:rFonts w:hint="eastAsia"/>
                <w:lang w:val="en-US" w:eastAsia="zh-CN"/>
              </w:rPr>
              <w:t>郭志清</w:t>
            </w:r>
            <w:r>
              <w:rPr>
                <w:rFonts w:hint="eastAsia"/>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法律法规的变化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及时更新掌握法律部法规的变化，进行合规性评价</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能源供应的中断</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及时了解供方的生产经营情况，寻求备用能源</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能源结构的变化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了解新能源的优势，及时调整</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rPr>
                <w:rFonts w:hint="default" w:eastAsia="宋体"/>
                <w:lang w:val="en-US" w:eastAsia="zh-CN"/>
              </w:rPr>
            </w:pPr>
            <w:r>
              <w:rPr>
                <w:rFonts w:hint="eastAsia"/>
              </w:rPr>
              <w:sym w:font="Wingdings 2" w:char="0052"/>
            </w:r>
            <w:r>
              <w:rPr>
                <w:rFonts w:hint="eastAsia"/>
              </w:rPr>
              <w:t>蒸汽</w:t>
            </w:r>
            <w:r>
              <w:rPr>
                <w:rFonts w:hint="eastAsia"/>
                <w:lang w:val="en-US" w:eastAsia="zh-CN"/>
              </w:rPr>
              <w:t xml:space="preserve">  </w:t>
            </w:r>
            <w:r>
              <w:rPr>
                <w:rFonts w:hint="eastAsia"/>
              </w:rPr>
              <w:sym w:font="Wingdings 2" w:char="0052"/>
            </w:r>
            <w:r>
              <w:rPr>
                <w:rFonts w:hint="eastAsia"/>
              </w:rPr>
              <w:t>天然气</w:t>
            </w:r>
            <w:r>
              <w:rPr>
                <w:rFonts w:hint="eastAsia"/>
                <w:lang w:val="en-US" w:eastAsia="zh-CN"/>
              </w:rPr>
              <w:t xml:space="preserve">  </w:t>
            </w:r>
            <w:r>
              <w:rPr>
                <w:rFonts w:hint="eastAsia"/>
              </w:rPr>
              <w:t>□燃料油</w:t>
            </w:r>
            <w:r>
              <w:rPr>
                <w:rFonts w:hint="eastAsia"/>
                <w:lang w:val="en-US" w:eastAsia="zh-CN"/>
              </w:rPr>
              <w:t xml:space="preserve">  </w:t>
            </w:r>
            <w:r>
              <w:rPr>
                <w:rFonts w:hint="eastAsia"/>
              </w:rPr>
              <w:sym w:font="Wingdings 2" w:char="00A3"/>
            </w:r>
            <w:r>
              <w:rPr>
                <w:rFonts w:hint="eastAsia"/>
              </w:rPr>
              <w:t>燃料气</w:t>
            </w:r>
            <w:r>
              <w:rPr>
                <w:rFonts w:hint="eastAsia"/>
                <w:lang w:val="en-US" w:eastAsia="zh-CN"/>
              </w:rPr>
              <w:t xml:space="preserve"> </w:t>
            </w:r>
            <w:r>
              <w:rPr>
                <w:rFonts w:hint="eastAsia"/>
              </w:rPr>
              <w:sym w:font="Wingdings 2" w:char="0052"/>
            </w:r>
            <w:r>
              <w:rPr>
                <w:rFonts w:hint="eastAsia"/>
              </w:rPr>
              <w:t>电力</w:t>
            </w:r>
            <w:r>
              <w:rPr>
                <w:rFonts w:hint="eastAsia"/>
                <w:lang w:val="en-US" w:eastAsia="zh-CN"/>
              </w:rPr>
              <w:t xml:space="preserve">  </w:t>
            </w:r>
            <w:r>
              <w:rPr>
                <w:rFonts w:hint="eastAsia"/>
              </w:rPr>
              <w:sym w:font="Wingdings 2" w:char="00A3"/>
            </w:r>
            <w:r>
              <w:rPr>
                <w:rFonts w:hint="eastAsia"/>
              </w:rPr>
              <w:t>氮气□风</w:t>
            </w:r>
            <w:r>
              <w:rPr>
                <w:rFonts w:hint="eastAsia"/>
              </w:rPr>
              <w:sym w:font="Wingdings 2" w:char="0052"/>
            </w:r>
            <w:r>
              <w:rPr>
                <w:rFonts w:hint="eastAsia"/>
              </w:rPr>
              <w:t>新鲜水□各种品质水</w:t>
            </w:r>
            <w:r>
              <w:rPr>
                <w:rFonts w:hint="eastAsia"/>
                <w:lang w:val="en-US" w:eastAsia="zh-CN"/>
              </w:rPr>
              <w:t xml:space="preserve">   </w:t>
            </w:r>
            <w:r>
              <w:rPr>
                <w:rFonts w:hint="eastAsia"/>
              </w:rPr>
              <w:sym w:font="Wingdings 2" w:char="00A3"/>
            </w:r>
            <w:r>
              <w:rPr>
                <w:rFonts w:hint="eastAsia"/>
              </w:rPr>
              <w:t>其他</w:t>
            </w:r>
            <w:r>
              <w:rPr>
                <w:rFonts w:hint="eastAsia"/>
                <w:lang w:eastAsia="zh-CN"/>
              </w:rPr>
              <w:t>——</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rPr>
                <w:rFonts w:hint="default" w:eastAsia="宋体"/>
                <w:lang w:val="en-US" w:eastAsia="zh-CN"/>
              </w:rPr>
            </w:pPr>
            <w:r>
              <w:rPr>
                <w:rFonts w:hint="eastAsia" w:asciiTheme="majorEastAsia" w:hAnsiTheme="majorEastAsia" w:eastAsiaTheme="majorEastAsia"/>
              </w:rPr>
              <w:t>能源绩效参数包括但不限于：</w:t>
            </w:r>
            <w:r>
              <w:rPr>
                <w:rFonts w:hint="eastAsia"/>
              </w:rPr>
              <w:sym w:font="Wingdings 2" w:char="0052"/>
            </w:r>
            <w:r>
              <w:rPr>
                <w:rFonts w:hint="eastAsia"/>
              </w:rPr>
              <w:t>单位</w:t>
            </w:r>
            <w:r>
              <w:rPr>
                <w:rFonts w:hint="eastAsia"/>
                <w:lang w:val="en-US" w:eastAsia="zh-CN"/>
              </w:rPr>
              <w:t>产值</w:t>
            </w:r>
            <w:r>
              <w:rPr>
                <w:rFonts w:hint="eastAsia"/>
              </w:rPr>
              <w:t>综合能耗</w:t>
            </w:r>
            <w:r>
              <w:rPr>
                <w:rFonts w:hint="eastAsia"/>
              </w:rPr>
              <w:sym w:font="Wingdings 2" w:char="0052"/>
            </w:r>
            <w:r>
              <w:rPr>
                <w:rFonts w:hint="eastAsia"/>
              </w:rPr>
              <w:t>能源消费总量</w:t>
            </w:r>
            <w:r>
              <w:rPr>
                <w:rFonts w:hint="eastAsia"/>
              </w:rPr>
              <w:sym w:font="Wingdings 2" w:char="0052"/>
            </w:r>
            <w:r>
              <w:rPr>
                <w:rFonts w:hint="eastAsia"/>
              </w:rPr>
              <w:t>单位产品</w:t>
            </w:r>
            <w:r>
              <w:rPr>
                <w:rFonts w:hint="eastAsia"/>
                <w:lang w:val="en-US" w:eastAsia="zh-CN"/>
              </w:rPr>
              <w:t>综合能耗</w:t>
            </w:r>
            <w:r>
              <w:rPr>
                <w:rFonts w:hint="eastAsia"/>
              </w:rPr>
              <w:t>□单位产品燃料气消耗□加热炉热效率</w:t>
            </w:r>
            <w:r>
              <w:rPr>
                <w:rFonts w:hint="eastAsia"/>
              </w:rPr>
              <w:sym w:font="Wingdings 2" w:char="00A3"/>
            </w:r>
            <w:r>
              <w:rPr>
                <w:rFonts w:hint="eastAsia"/>
              </w:rPr>
              <w:t>其他</w:t>
            </w:r>
            <w:r>
              <w:rPr>
                <w:rFonts w:hint="eastAsia"/>
                <w:lang w:eastAsia="zh-CN"/>
              </w:rPr>
              <w:t>，</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rPr>
                <w:rFonts w:hint="default" w:eastAsia="宋体"/>
                <w:lang w:val="en-US" w:eastAsia="zh-CN"/>
              </w:rPr>
            </w:pPr>
            <w:r>
              <w:rPr>
                <w:rFonts w:hint="eastAsia"/>
              </w:rPr>
              <w:t>□节能评估报告编号/日期：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能源评审报告编号/日期</w:t>
            </w:r>
            <w:r>
              <w:rPr>
                <w:rFonts w:hint="eastAsia"/>
                <w:highlight w:val="none"/>
              </w:rPr>
              <w:t>：</w:t>
            </w:r>
            <w:r>
              <w:rPr>
                <w:rFonts w:hint="eastAsia"/>
                <w:highlight w:val="none"/>
                <w:lang w:val="en-US" w:eastAsia="zh-CN"/>
              </w:rPr>
              <w:t>2022.7</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w:t>
            </w:r>
            <w:r>
              <w:rPr>
                <w:rFonts w:hint="eastAsia"/>
              </w:rPr>
              <w:sym w:font="Wingdings 2" w:char="0052"/>
            </w:r>
            <w:r>
              <w:rPr>
                <w:rFonts w:hint="eastAsia"/>
              </w:rPr>
              <w:t>能源计量管理</w:t>
            </w:r>
            <w:r>
              <w:rPr>
                <w:rFonts w:hint="eastAsia"/>
              </w:rPr>
              <w:sym w:font="Wingdings 2" w:char="0052"/>
            </w:r>
            <w:r>
              <w:rPr>
                <w:rFonts w:hint="eastAsia"/>
              </w:rPr>
              <w:t>使用节能设备</w:t>
            </w:r>
            <w:r>
              <w:rPr>
                <w:rFonts w:hint="eastAsia"/>
              </w:rPr>
              <w:sym w:font="Wingdings 2" w:char="00A3"/>
            </w:r>
            <w:r>
              <w:rPr>
                <w:rFonts w:hint="eastAsia"/>
              </w:rPr>
              <w:t>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585"/>
              <w:gridCol w:w="1137"/>
              <w:gridCol w:w="2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宋体" w:hAnsi="宋体" w:eastAsia="宋体"/>
                      <w:lang w:eastAsia="zh-CN"/>
                    </w:rPr>
                  </w:pPr>
                  <w:r>
                    <w:rPr>
                      <w:rFonts w:hint="eastAsia" w:ascii="宋体" w:hAnsi="宋体"/>
                    </w:rPr>
                    <w:t>节能目标</w:t>
                  </w:r>
                  <w:r>
                    <w:rPr>
                      <w:rFonts w:hint="eastAsia" w:ascii="宋体" w:hAnsi="宋体"/>
                      <w:lang w:eastAsia="zh-CN"/>
                    </w:rPr>
                    <w:t>（</w:t>
                  </w:r>
                  <w:r>
                    <w:rPr>
                      <w:rFonts w:hint="eastAsia" w:ascii="宋体" w:hAnsi="宋体"/>
                      <w:lang w:val="en-US" w:eastAsia="zh-CN"/>
                    </w:rPr>
                    <w:t>2021年</w:t>
                  </w:r>
                  <w:r>
                    <w:rPr>
                      <w:rFonts w:hint="eastAsia" w:ascii="宋体" w:hAnsi="宋体"/>
                      <w:lang w:eastAsia="zh-CN"/>
                    </w:rPr>
                    <w:t>）</w:t>
                  </w:r>
                </w:p>
              </w:tc>
              <w:tc>
                <w:tcPr>
                  <w:tcW w:w="2585"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37"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2555" w:type="dxa"/>
                  <w:shd w:val="clear" w:color="auto" w:fill="auto"/>
                </w:tcPr>
                <w:p>
                  <w:pPr>
                    <w:shd w:val="clear" w:color="auto" w:fill="EBF1DE" w:themeFill="accent3" w:themeFillTint="32"/>
                    <w:rPr>
                      <w:rFonts w:hint="eastAsia" w:ascii="宋体" w:hAnsi="宋体" w:eastAsia="宋体"/>
                      <w:lang w:eastAsia="zh-CN"/>
                    </w:rPr>
                  </w:pPr>
                  <w:r>
                    <w:rPr>
                      <w:rFonts w:hint="eastAsia" w:ascii="宋体" w:hAnsi="宋体"/>
                    </w:rPr>
                    <w:t>目标实际完成</w:t>
                  </w:r>
                  <w:r>
                    <w:rPr>
                      <w:rFonts w:hint="eastAsia" w:ascii="宋体" w:hAnsi="宋体"/>
                      <w:lang w:eastAsia="zh-CN"/>
                    </w:rPr>
                    <w:t>（</w:t>
                  </w:r>
                  <w:r>
                    <w:rPr>
                      <w:rFonts w:hint="eastAsia" w:ascii="宋体" w:hAnsi="宋体"/>
                      <w:lang w:val="en-US" w:eastAsia="zh-CN"/>
                    </w:rPr>
                    <w:t>2021</w:t>
                  </w:r>
                  <w:r>
                    <w:rPr>
                      <w:rFonts w:hint="eastAsia" w:ascii="宋体" w:hAnsi="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91" w:type="dxa"/>
                  <w:shd w:val="clear" w:color="auto" w:fill="auto"/>
                  <w:vAlign w:val="center"/>
                </w:tcPr>
                <w:p>
                  <w:pPr>
                    <w:jc w:val="left"/>
                    <w:rPr>
                      <w:rFonts w:hint="eastAsia" w:ascii="Times New Roman" w:hAnsi="Times New Roman" w:eastAsia="宋体" w:cs="Times New Roman"/>
                      <w:kern w:val="2"/>
                      <w:sz w:val="21"/>
                      <w:szCs w:val="24"/>
                      <w:highlight w:val="yellow"/>
                      <w:lang w:val="en-US" w:eastAsia="zh-CN" w:bidi="ar-SA"/>
                    </w:rPr>
                  </w:pPr>
                  <w:r>
                    <w:rPr>
                      <w:rFonts w:hint="eastAsia" w:ascii="宋体" w:hAnsi="宋体"/>
                      <w:sz w:val="21"/>
                      <w:szCs w:val="21"/>
                      <w:lang w:val="en-US" w:eastAsia="zh-CN"/>
                    </w:rPr>
                    <w:t>公司</w:t>
                  </w:r>
                  <w:r>
                    <w:rPr>
                      <w:rFonts w:hint="eastAsia" w:ascii="宋体" w:hAnsi="宋体"/>
                      <w:sz w:val="21"/>
                      <w:szCs w:val="21"/>
                    </w:rPr>
                    <w:t>综合能耗</w:t>
                  </w:r>
                  <w:r>
                    <w:rPr>
                      <w:rFonts w:hint="eastAsia" w:ascii="宋体" w:hAnsi="宋体"/>
                      <w:sz w:val="21"/>
                      <w:szCs w:val="21"/>
                      <w:highlight w:val="none"/>
                      <w:lang w:val="en-US" w:eastAsia="zh-CN"/>
                    </w:rPr>
                    <w:t>550</w:t>
                  </w:r>
                  <w:r>
                    <w:rPr>
                      <w:rFonts w:hint="eastAsia" w:ascii="宋体" w:hAnsi="宋体"/>
                      <w:sz w:val="21"/>
                      <w:szCs w:val="21"/>
                      <w:lang w:val="en-US" w:eastAsia="zh-CN"/>
                    </w:rPr>
                    <w:t>t</w:t>
                  </w:r>
                  <w:r>
                    <w:rPr>
                      <w:rFonts w:hint="eastAsia" w:ascii="宋体" w:hAnsi="宋体"/>
                      <w:sz w:val="21"/>
                      <w:szCs w:val="21"/>
                    </w:rPr>
                    <w:t>ce</w:t>
                  </w:r>
                </w:p>
              </w:tc>
              <w:tc>
                <w:tcPr>
                  <w:tcW w:w="2585"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加强节能管理，控制用电用水</w:t>
                  </w:r>
                </w:p>
              </w:tc>
              <w:tc>
                <w:tcPr>
                  <w:tcW w:w="1137"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GB" w:eastAsia="zh-CN" w:bidi="ar-SA"/>
                    </w:rPr>
                  </w:pPr>
                  <w:r>
                    <w:rPr>
                      <w:rFonts w:hint="eastAsia"/>
                      <w:highlight w:val="none"/>
                      <w:lang w:val="en-US" w:eastAsia="zh-CN"/>
                    </w:rPr>
                    <w:t>办公室</w:t>
                  </w:r>
                </w:p>
              </w:tc>
              <w:tc>
                <w:tcPr>
                  <w:tcW w:w="2555" w:type="dxa"/>
                  <w:shd w:val="clear" w:color="auto" w:fill="auto"/>
                  <w:vAlign w:val="center"/>
                </w:tcPr>
                <w:p>
                  <w:pPr>
                    <w:jc w:val="center"/>
                    <w:rPr>
                      <w:rFonts w:hint="default" w:ascii="宋体" w:hAnsi="宋体" w:eastAsia="宋体" w:cs="Times New Roman"/>
                      <w:kern w:val="2"/>
                      <w:sz w:val="21"/>
                      <w:szCs w:val="24"/>
                      <w:highlight w:val="none"/>
                      <w:lang w:val="en-US" w:eastAsia="zh-CN" w:bidi="ar-SA"/>
                    </w:rPr>
                  </w:pPr>
                  <w:r>
                    <w:rPr>
                      <w:rFonts w:hint="eastAsia" w:ascii="宋体" w:hAnsi="宋体"/>
                      <w:color w:val="auto"/>
                      <w:sz w:val="21"/>
                      <w:szCs w:val="21"/>
                      <w:lang w:val="en-US" w:eastAsia="zh-CN"/>
                    </w:rPr>
                    <w:t>513.73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1" w:type="dxa"/>
                  <w:shd w:val="clear" w:color="auto" w:fill="auto"/>
                  <w:vAlign w:val="center"/>
                </w:tcPr>
                <w:p>
                  <w:pPr>
                    <w:jc w:val="left"/>
                    <w:rPr>
                      <w:rFonts w:ascii="Times New Roman" w:hAnsi="Times New Roman" w:eastAsia="宋体" w:cs="Times New Roman"/>
                      <w:kern w:val="2"/>
                      <w:sz w:val="21"/>
                      <w:szCs w:val="24"/>
                      <w:highlight w:val="yellow"/>
                      <w:lang w:val="en-US" w:eastAsia="zh-CN" w:bidi="ar-SA"/>
                    </w:rPr>
                  </w:pPr>
                  <w:r>
                    <w:rPr>
                      <w:rFonts w:hint="eastAsia" w:ascii="宋体" w:hAnsi="宋体"/>
                      <w:sz w:val="21"/>
                      <w:szCs w:val="21"/>
                    </w:rPr>
                    <w:t>单位产品综合能耗</w:t>
                  </w:r>
                  <w:r>
                    <w:rPr>
                      <w:rFonts w:hint="eastAsia" w:ascii="宋体" w:hAnsi="宋体"/>
                      <w:sz w:val="21"/>
                      <w:szCs w:val="21"/>
                      <w:lang w:val="en-US" w:eastAsia="zh-CN"/>
                    </w:rPr>
                    <w:t xml:space="preserve">0.5 </w:t>
                  </w:r>
                  <w:r>
                    <w:rPr>
                      <w:rFonts w:hint="eastAsia" w:ascii="宋体" w:hAnsi="宋体"/>
                      <w:sz w:val="21"/>
                      <w:szCs w:val="21"/>
                    </w:rPr>
                    <w:t>kgce/</w:t>
                  </w:r>
                  <w:r>
                    <w:rPr>
                      <w:rFonts w:hint="eastAsia" w:ascii="宋体" w:hAnsi="宋体"/>
                      <w:sz w:val="21"/>
                      <w:szCs w:val="21"/>
                      <w:lang w:val="en-US" w:eastAsia="zh-CN"/>
                    </w:rPr>
                    <w:t>套</w:t>
                  </w:r>
                </w:p>
              </w:tc>
              <w:tc>
                <w:tcPr>
                  <w:tcW w:w="2585"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none"/>
                      <w:lang w:val="en-US" w:eastAsia="zh-CN" w:bidi="ar-SA"/>
                    </w:rPr>
                  </w:pPr>
                  <w:r>
                    <w:rPr>
                      <w:rFonts w:hint="eastAsia"/>
                      <w:highlight w:val="none"/>
                      <w:lang w:val="en-US" w:eastAsia="zh-CN"/>
                    </w:rPr>
                    <w:t>加强节能管理，控制用电用水量</w:t>
                  </w:r>
                </w:p>
              </w:tc>
              <w:tc>
                <w:tcPr>
                  <w:tcW w:w="1137"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办公室</w:t>
                  </w:r>
                </w:p>
              </w:tc>
              <w:tc>
                <w:tcPr>
                  <w:tcW w:w="2555" w:type="dxa"/>
                  <w:shd w:val="clear" w:color="auto" w:fill="auto"/>
                  <w:vAlign w:val="center"/>
                </w:tcPr>
                <w:p>
                  <w:pPr>
                    <w:jc w:val="center"/>
                    <w:rPr>
                      <w:rFonts w:ascii="宋体" w:hAnsi="宋体" w:eastAsia="宋体" w:cs="Times New Roman"/>
                      <w:kern w:val="2"/>
                      <w:sz w:val="21"/>
                      <w:szCs w:val="24"/>
                      <w:highlight w:val="none"/>
                      <w:lang w:val="en-US" w:eastAsia="zh-CN" w:bidi="ar-SA"/>
                    </w:rPr>
                  </w:pPr>
                  <w:r>
                    <w:rPr>
                      <w:rFonts w:hint="eastAsia" w:ascii="宋体" w:hAnsi="宋体"/>
                      <w:color w:val="auto"/>
                      <w:sz w:val="21"/>
                      <w:szCs w:val="21"/>
                      <w:lang w:val="en-US" w:eastAsia="zh-CN"/>
                    </w:rPr>
                    <w:t>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left"/>
                    <w:rPr>
                      <w:rFonts w:hint="default" w:eastAsia="宋体"/>
                      <w:highlight w:val="yellow"/>
                      <w:lang w:val="en-US" w:eastAsia="zh-CN"/>
                    </w:rPr>
                  </w:pPr>
                  <w:r>
                    <w:rPr>
                      <w:rFonts w:hint="eastAsia" w:ascii="宋体" w:hAnsi="宋体"/>
                      <w:sz w:val="21"/>
                      <w:szCs w:val="21"/>
                    </w:rPr>
                    <w:t>单位产值综合能耗</w:t>
                  </w:r>
                  <w:r>
                    <w:rPr>
                      <w:rFonts w:hint="eastAsia" w:ascii="宋体" w:hAnsi="宋体"/>
                      <w:sz w:val="21"/>
                      <w:szCs w:val="21"/>
                      <w:lang w:val="en-US" w:eastAsia="zh-CN"/>
                    </w:rPr>
                    <w:t xml:space="preserve">20 </w:t>
                  </w:r>
                  <w:r>
                    <w:rPr>
                      <w:rFonts w:hint="eastAsia" w:ascii="宋体" w:hAnsi="宋体"/>
                      <w:sz w:val="21"/>
                      <w:szCs w:val="21"/>
                    </w:rPr>
                    <w:t>kgce/万元</w:t>
                  </w:r>
                </w:p>
              </w:tc>
              <w:tc>
                <w:tcPr>
                  <w:tcW w:w="2585" w:type="dxa"/>
                  <w:shd w:val="clear" w:color="auto" w:fill="auto"/>
                  <w:vAlign w:val="center"/>
                </w:tcPr>
                <w:p>
                  <w:pPr>
                    <w:shd w:val="clear" w:color="auto" w:fill="EBF1DE" w:themeFill="accent3" w:themeFillTint="32"/>
                    <w:rPr>
                      <w:rFonts w:hint="default" w:ascii="宋体" w:hAnsi="宋体"/>
                      <w:highlight w:val="none"/>
                      <w:lang w:val="en-US"/>
                    </w:rPr>
                  </w:pPr>
                  <w:r>
                    <w:rPr>
                      <w:rFonts w:hint="eastAsia"/>
                      <w:highlight w:val="none"/>
                      <w:lang w:val="en-US" w:eastAsia="zh-CN"/>
                    </w:rPr>
                    <w:t>加强小区节能管理，控制用电用水，提高服务质量</w:t>
                  </w:r>
                </w:p>
              </w:tc>
              <w:tc>
                <w:tcPr>
                  <w:tcW w:w="1137"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r>
                    <w:rPr>
                      <w:rFonts w:hint="eastAsia" w:ascii="宋体" w:hAnsi="宋体"/>
                      <w:highlight w:val="none"/>
                      <w:lang w:val="en-US" w:eastAsia="zh-CN"/>
                    </w:rPr>
                    <w:t>办公室</w:t>
                  </w:r>
                </w:p>
              </w:tc>
              <w:tc>
                <w:tcPr>
                  <w:tcW w:w="2555" w:type="dxa"/>
                  <w:shd w:val="clear" w:color="auto" w:fill="auto"/>
                  <w:vAlign w:val="center"/>
                </w:tcPr>
                <w:p>
                  <w:pPr>
                    <w:jc w:val="center"/>
                    <w:rPr>
                      <w:rFonts w:ascii="宋体" w:hAnsi="宋体"/>
                      <w:highlight w:val="none"/>
                    </w:rPr>
                  </w:pPr>
                  <w:r>
                    <w:rPr>
                      <w:rFonts w:hint="eastAsia" w:ascii="宋体" w:hAnsi="宋体"/>
                      <w:color w:val="auto"/>
                      <w:sz w:val="21"/>
                      <w:szCs w:val="21"/>
                      <w:lang w:val="en-US" w:eastAsia="zh-CN"/>
                    </w:rPr>
                    <w:t>19.76</w:t>
                  </w:r>
                </w:p>
              </w:tc>
            </w:tr>
          </w:tbl>
          <w:p>
            <w:pPr>
              <w:shd w:val="clear" w:color="auto" w:fill="EBF1DE" w:themeFill="accent3" w:themeFillTint="32"/>
              <w:rPr>
                <w:rFonts w:hint="default" w:eastAsia="宋体"/>
                <w:highlight w:val="none"/>
                <w:lang w:val="en-US" w:eastAsia="zh-CN"/>
              </w:rPr>
            </w:pPr>
            <w:r>
              <w:rPr>
                <w:rFonts w:hint="eastAsia" w:ascii="Wingdings" w:hAnsi="Wingdings"/>
                <w:highlight w:val="none"/>
                <w:lang w:eastAsia="zh-CN"/>
              </w:rPr>
              <w:sym w:font="Wingdings 2" w:char="0052"/>
            </w:r>
            <w:r>
              <w:rPr>
                <w:rFonts w:hint="eastAsia"/>
                <w:highlight w:val="none"/>
              </w:rPr>
              <w:t>目标已实现</w:t>
            </w:r>
            <w:r>
              <w:rPr>
                <w:rFonts w:hint="eastAsia"/>
                <w:highlight w:val="none"/>
                <w:lang w:val="en-US" w:eastAsia="zh-CN"/>
              </w:rPr>
              <w:t>。</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sym w:font="Wingdings 2" w:char="0052"/>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default" w:ascii="Times New Roman" w:hAnsi="Times New Roman" w:eastAsia="宋体" w:cs="Times New Roman"/>
                <w:lang w:val="en-US"/>
              </w:rPr>
            </w:pPr>
            <w:r>
              <w:rPr>
                <w:rFonts w:hint="eastAsia"/>
                <w:highlight w:val="none"/>
                <w:lang w:val="en-US" w:eastAsia="zh-CN"/>
              </w:rPr>
              <w:t>占地</w:t>
            </w:r>
            <w:r>
              <w:rPr>
                <w:rFonts w:hint="eastAsia"/>
                <w:highlight w:val="none"/>
              </w:rPr>
              <w:t>面积</w:t>
            </w:r>
            <w:r>
              <w:rPr>
                <w:rFonts w:hint="eastAsia" w:ascii="宋体" w:hAnsi="宋体" w:eastAsia="宋体" w:cs="Times New Roman"/>
                <w:kern w:val="2"/>
                <w:sz w:val="21"/>
                <w:szCs w:val="21"/>
                <w:lang w:val="en-US" w:eastAsia="zh-CN" w:bidi="ar-SA"/>
              </w:rPr>
              <w:t>50亩，建筑面积近4万多平方米</w:t>
            </w:r>
            <w:r>
              <w:rPr>
                <w:rFonts w:hint="eastAsia" w:ascii="Times New Roman" w:hAnsi="Times New Roman" w:eastAsia="宋体" w:cs="Times New Roman"/>
              </w:rPr>
              <w:t>；</w:t>
            </w:r>
            <w:r>
              <w:rPr>
                <w:rFonts w:hint="eastAsia" w:cs="Times New Roman"/>
                <w:lang w:val="en-US" w:eastAsia="zh-CN"/>
              </w:rPr>
              <w:t>2个生产车间</w:t>
            </w:r>
            <w:r>
              <w:rPr>
                <w:rFonts w:hint="eastAsia" w:ascii="Times New Roman" w:hAnsi="Times New Roman" w:eastAsia="宋体" w:cs="Times New Roman"/>
                <w:lang w:val="en-US" w:eastAsia="zh-CN"/>
              </w:rPr>
              <w:t>；</w:t>
            </w:r>
            <w:r>
              <w:rPr>
                <w:rFonts w:hint="eastAsia" w:ascii="Times New Roman" w:hAnsi="Times New Roman" w:eastAsia="宋体" w:cs="Times New Roman"/>
              </w:rPr>
              <w:t>库房</w:t>
            </w:r>
            <w:r>
              <w:rPr>
                <w:rFonts w:hint="eastAsia" w:cs="Times New Roman"/>
                <w:lang w:val="en-US" w:eastAsia="zh-CN"/>
              </w:rPr>
              <w:t>1</w:t>
            </w:r>
            <w:r>
              <w:rPr>
                <w:rFonts w:hint="eastAsia" w:ascii="Times New Roman" w:hAnsi="Times New Roman" w:eastAsia="宋体" w:cs="Times New Roman"/>
              </w:rPr>
              <w:t>个</w:t>
            </w:r>
            <w:r>
              <w:rPr>
                <w:rFonts w:hint="eastAsia" w:ascii="Times New Roman" w:hAnsi="Times New Roman" w:eastAsia="宋体" w:cs="Times New Roman"/>
                <w:lang w:val="en-US" w:eastAsia="zh-CN"/>
              </w:rPr>
              <w:t>(</w:t>
            </w:r>
            <w:r>
              <w:rPr>
                <w:rFonts w:hint="eastAsia" w:cs="Times New Roman"/>
                <w:lang w:val="en-US" w:eastAsia="zh-CN"/>
              </w:rPr>
              <w:t>面料</w:t>
            </w:r>
            <w:r>
              <w:rPr>
                <w:rFonts w:hint="eastAsia" w:ascii="Times New Roman" w:hAnsi="Times New Roman" w:eastAsia="宋体" w:cs="Times New Roman"/>
                <w:lang w:val="en-US" w:eastAsia="zh-CN"/>
              </w:rPr>
              <w:t>库、</w:t>
            </w:r>
            <w:r>
              <w:rPr>
                <w:rFonts w:hint="eastAsia" w:cs="Times New Roman"/>
                <w:lang w:val="en-US" w:eastAsia="zh-CN"/>
              </w:rPr>
              <w:t>辅料库、</w:t>
            </w:r>
            <w:r>
              <w:rPr>
                <w:rFonts w:hint="eastAsia" w:ascii="Times New Roman" w:hAnsi="Times New Roman" w:eastAsia="宋体" w:cs="Times New Roman"/>
                <w:lang w:val="en-US" w:eastAsia="zh-CN"/>
              </w:rPr>
              <w:t>成品库）；</w:t>
            </w:r>
          </w:p>
          <w:p>
            <w:pPr>
              <w:shd w:val="clear" w:color="auto" w:fill="EBF1DE" w:themeFill="accent3" w:themeFillTint="32"/>
              <w:rPr>
                <w:u w:val="single"/>
              </w:rPr>
            </w:pPr>
            <w:r>
              <w:rPr>
                <w:rFonts w:hint="eastAsia" w:ascii="Times New Roman" w:hAnsi="Times New Roman" w:eastAsia="宋体" w:cs="Times New Roman"/>
              </w:rPr>
              <w:t>主要生产设备有：</w:t>
            </w:r>
            <w:r>
              <w:rPr>
                <w:rFonts w:hint="eastAsia" w:ascii="Times New Roman" w:hAnsi="Times New Roman" w:eastAsia="宋体" w:cs="Times New Roman"/>
                <w:u w:val="single"/>
                <w:lang w:val="en-US" w:eastAsia="zh-CN"/>
              </w:rPr>
              <w:t>空调系统、裁剪机、缝纫机、天然气锅炉、配电室等</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ascii="宋体" w:hAnsi="宋体" w:eastAsia="宋体" w:cs="Times New Roman"/>
                <w:szCs w:val="21"/>
                <w:u w:val="single"/>
                <w:lang w:val="en-US" w:eastAsia="zh-CN"/>
              </w:rPr>
              <w:t>天然气锅炉、空调系统</w:t>
            </w:r>
            <w:r>
              <w:rPr>
                <w:rFonts w:hint="eastAsia"/>
                <w:color w:val="000000"/>
                <w:szCs w:val="22"/>
                <w:u w:val="single"/>
                <w:lang w:val="en-US" w:eastAsia="zh-CN"/>
              </w:rPr>
              <w:t>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sym w:font="Wingdings 2" w:char="00A3"/>
            </w:r>
            <w:r>
              <w:rPr>
                <w:rFonts w:hint="eastAsia"/>
              </w:rPr>
              <w:t>叉车</w:t>
            </w:r>
            <w:r>
              <w:rPr>
                <w:rFonts w:hint="eastAsia" w:ascii="Wingdings" w:hAnsi="Wingdings"/>
                <w:lang w:eastAsia="zh-CN"/>
              </w:rPr>
              <w:sym w:font="Wingdings 2" w:char="00A3"/>
            </w:r>
            <w:r>
              <w:rPr>
                <w:rFonts w:hint="eastAsia"/>
              </w:rPr>
              <w:t>行车</w:t>
            </w:r>
            <w:r>
              <w:rPr>
                <w:rFonts w:hint="eastAsia" w:ascii="Wingdings" w:hAnsi="Wingdings"/>
                <w:lang w:eastAsia="zh-CN"/>
              </w:rPr>
              <w:sym w:font="Wingdings 2" w:char="0052"/>
            </w:r>
            <w:r>
              <w:rPr>
                <w:rFonts w:hint="eastAsia"/>
              </w:rPr>
              <w:t>锅炉</w:t>
            </w:r>
            <w:r>
              <w:rPr>
                <w:rFonts w:hint="eastAsia" w:ascii="Wingdings" w:hAnsi="Wingdings"/>
                <w:lang w:eastAsia="zh-CN"/>
              </w:rPr>
              <w:sym w:font="Wingdings 2" w:char="00A3"/>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sym w:font="Wingdings 2" w:char="0052"/>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sym w:font="Wingdings 2" w:char="00A3"/>
            </w:r>
            <w:r>
              <w:rPr>
                <w:rFonts w:hint="eastAsia"/>
              </w:rPr>
              <w:t>空压站</w:t>
            </w:r>
            <w:r>
              <w:rPr>
                <w:rFonts w:hint="eastAsia" w:ascii="Wingdings" w:hAnsi="Wingdings"/>
                <w:lang w:eastAsia="zh-CN"/>
              </w:rPr>
              <w:sym w:font="Wingdings 2" w:char="00A3"/>
            </w:r>
            <w:r>
              <w:rPr>
                <w:rFonts w:hint="eastAsia"/>
                <w:lang w:val="en-US" w:eastAsia="zh-CN"/>
              </w:rPr>
              <w:t>加热炉</w:t>
            </w:r>
            <w:r>
              <w:rPr>
                <w:rFonts w:hint="eastAsia" w:ascii="Wingdings" w:hAnsi="Wingdings"/>
                <w:lang w:eastAsia="zh-CN"/>
              </w:rPr>
              <w:sym w:font="Wingdings 2" w:char="00A3"/>
            </w:r>
            <w:r>
              <w:rPr>
                <w:rFonts w:hint="eastAsia"/>
              </w:rPr>
              <w:t>食堂</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能源计量器具有：</w:t>
            </w:r>
            <w:r>
              <w:rPr>
                <w:rFonts w:hint="eastAsia"/>
                <w:u w:val="single"/>
                <w:lang w:val="en-US" w:eastAsia="zh-CN"/>
              </w:rPr>
              <w:t>电表、水表、天然气表、压力表</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highlight w:val="none"/>
                <w:lang w:eastAsia="zh-CN"/>
              </w:rPr>
              <w:sym w:font="Wingdings 2" w:char="00A3"/>
            </w:r>
            <w:r>
              <w:rPr>
                <w:rFonts w:hint="eastAsia"/>
                <w:highlight w:val="none"/>
              </w:rPr>
              <w:t>进行了定期校准</w:t>
            </w:r>
            <w:r>
              <w:rPr>
                <w:rFonts w:hint="eastAsia"/>
              </w:rPr>
              <w:t>/检定</w:t>
            </w:r>
            <w:r>
              <w:rPr>
                <w:rFonts w:hint="eastAsia" w:ascii="Wingdings" w:hAnsi="Wingdings"/>
                <w:lang w:eastAsia="zh-CN"/>
              </w:rPr>
              <w:sym w:font="Wingdings 2" w:char="0052"/>
            </w:r>
            <w:r>
              <w:rPr>
                <w:rFonts w:hint="eastAsia"/>
              </w:rPr>
              <w:t>未</w:t>
            </w:r>
            <w:r>
              <w:rPr>
                <w:rFonts w:hint="eastAsia"/>
                <w:lang w:val="en-US" w:eastAsia="zh-CN"/>
              </w:rPr>
              <w:t>提供</w:t>
            </w:r>
            <w:r>
              <w:rPr>
                <w:rFonts w:hint="eastAsia"/>
              </w:rPr>
              <w:t>行定期校准/检定</w:t>
            </w:r>
            <w:r>
              <w:rPr>
                <w:rFonts w:hint="eastAsia"/>
                <w:lang w:val="en-US" w:eastAsia="zh-CN"/>
              </w:rPr>
              <w:t>报告，企业介绍</w:t>
            </w:r>
            <w:r>
              <w:rPr>
                <w:rFonts w:hint="eastAsia"/>
              </w:rPr>
              <w:t>：</w:t>
            </w:r>
            <w:r>
              <w:rPr>
                <w:rFonts w:hint="eastAsia"/>
                <w:lang w:val="en-US" w:eastAsia="zh-CN"/>
              </w:rPr>
              <w:t>电表、水表、燃气表由出租方负责安装和管理（检定）。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rPr>
                <w:rFonts w:hint="default" w:eastAsia="宋体"/>
                <w:lang w:val="en-US" w:eastAsia="zh-CN"/>
              </w:rPr>
            </w:pPr>
            <w:r>
              <w:rPr>
                <w:rFonts w:hint="eastAsia"/>
              </w:rPr>
              <w:sym w:font="Wingdings 2" w:char="00A3"/>
            </w:r>
            <w:r>
              <w:rPr>
                <w:rFonts w:hint="eastAsia"/>
              </w:rPr>
              <w:t>法律法规获取充分，</w:t>
            </w:r>
            <w:r>
              <w:rPr>
                <w:rFonts w:hint="eastAsia"/>
              </w:rPr>
              <w:sym w:font="Wingdings 2" w:char="0052"/>
            </w:r>
            <w:r>
              <w:rPr>
                <w:rFonts w:hint="eastAsia"/>
              </w:rPr>
              <w:t>法律法规获取有遗漏，缺少：</w:t>
            </w:r>
            <w:r>
              <w:rPr>
                <w:rFonts w:hint="eastAsia"/>
                <w:lang w:val="en-US" w:eastAsia="zh-CN"/>
              </w:rPr>
              <w:t>物业管理条例的识别。已完善。</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组织为满足节能管理的要求，已对用能过程建立了相应的运行准则；按照运行准则实施过程控制。策划文件包括：</w:t>
            </w:r>
          </w:p>
          <w:p>
            <w:pPr>
              <w:shd w:val="clear" w:color="auto" w:fill="EBF1DE" w:themeFill="accent3" w:themeFillTint="32"/>
            </w:pPr>
            <w:r>
              <w:rPr>
                <w:rFonts w:hint="eastAsia" w:ascii="Wingdings" w:hAnsi="Wingdings"/>
                <w:color w:val="auto"/>
                <w:lang w:eastAsia="zh-CN"/>
              </w:rPr>
              <w:t>□</w:t>
            </w:r>
            <w:r>
              <w:rPr>
                <w:rFonts w:hint="eastAsia"/>
                <w:color w:val="auto"/>
              </w:rPr>
              <w:t>操作规程</w:t>
            </w:r>
            <w:r>
              <w:rPr>
                <w:rFonts w:hint="eastAsia" w:ascii="Wingdings" w:hAnsi="Wingdings"/>
                <w:color w:val="auto"/>
                <w:lang w:eastAsia="zh-CN"/>
              </w:rPr>
              <w:sym w:font="Wingdings 2" w:char="0052"/>
            </w:r>
            <w:r>
              <w:rPr>
                <w:rFonts w:hint="eastAsia"/>
                <w:color w:val="auto"/>
              </w:rPr>
              <w:t>作业文件</w:t>
            </w:r>
            <w:r>
              <w:rPr>
                <w:rFonts w:hint="eastAsia" w:ascii="Wingdings" w:hAnsi="Wingdings"/>
                <w:color w:val="auto"/>
                <w:lang w:eastAsia="zh-CN"/>
              </w:rPr>
              <w:t>□</w:t>
            </w:r>
            <w:r>
              <w:rPr>
                <w:rFonts w:hint="eastAsia"/>
                <w:color w:val="auto"/>
              </w:rPr>
              <w:t>工艺卡片</w:t>
            </w:r>
            <w:r>
              <w:rPr>
                <w:rFonts w:hint="eastAsia" w:ascii="Wingdings" w:hAnsi="Wingdings"/>
                <w:color w:val="auto"/>
                <w:lang w:eastAsia="zh-CN"/>
              </w:rPr>
              <w:sym w:font="Wingdings 2" w:char="0052"/>
            </w:r>
            <w:r>
              <w:rPr>
                <w:rFonts w:hint="eastAsia"/>
                <w:color w:val="auto"/>
              </w:rPr>
              <w:t>接收准则</w:t>
            </w:r>
            <w:r>
              <w:rPr>
                <w:rFonts w:hint="eastAsia" w:ascii="Wingdings" w:hAnsi="Wingdings"/>
                <w:color w:val="auto"/>
                <w:lang w:eastAsia="zh-CN"/>
              </w:rPr>
              <w:t>□</w:t>
            </w:r>
            <w:r>
              <w:rPr>
                <w:rFonts w:hint="eastAsia"/>
                <w:color w:val="auto"/>
              </w:rPr>
              <w:t>工艺流程图</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w:t>
            </w:r>
            <w:r>
              <w:rPr>
                <w:rFonts w:hint="eastAsia" w:ascii="Times New Roman" w:hAnsi="Times New Roman" w:eastAsia="宋体" w:cs="Times New Roman"/>
              </w:rPr>
              <w:t>设计和开发新产品/项目名称：</w:t>
            </w:r>
            <w:r>
              <w:rPr>
                <w:rFonts w:hint="eastAsia"/>
                <w:u w:val="single"/>
                <w:lang w:val="en-US" w:eastAsia="zh-CN"/>
              </w:rPr>
              <w:t xml:space="preserve">   冲锋衣新品设计 </w:t>
            </w:r>
            <w:r>
              <w:rPr>
                <w:rFonts w:hint="eastAsia"/>
                <w:highlight w:val="none"/>
                <w:u w:val="single"/>
              </w:rPr>
              <w:t>（</w:t>
            </w:r>
            <w:r>
              <w:rPr>
                <w:rFonts w:hint="eastAsia"/>
                <w:highlight w:val="none"/>
              </w:rPr>
              <w:t>举1例）</w:t>
            </w:r>
          </w:p>
          <w:p>
            <w:pPr>
              <w:shd w:val="clear" w:color="auto" w:fill="EBF1DE" w:themeFill="accent3" w:themeFillTint="32"/>
            </w:pPr>
            <w:r>
              <w:rPr>
                <w:rFonts w:hint="eastAsia"/>
              </w:rPr>
              <w:t>对该设计和开发的项目进行了</w:t>
            </w:r>
            <w:r>
              <w:rPr>
                <w:rFonts w:hint="eastAsia"/>
                <w:lang w:val="en-US" w:eastAsia="zh-CN"/>
              </w:rPr>
              <w:t>项目备案</w:t>
            </w:r>
            <w:r>
              <w:rPr>
                <w:rFonts w:hint="eastAsia"/>
              </w:rPr>
              <w:t>，并制订了相应的控制措施。</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能源采购</w:t>
            </w:r>
            <w:r>
              <w:rPr>
                <w:rFonts w:hint="eastAsia" w:ascii="Wingdings" w:hAnsi="Wingdings"/>
                <w:lang w:eastAsia="zh-CN"/>
              </w:rPr>
              <w:sym w:font="Wingdings 2" w:char="0052"/>
            </w:r>
            <w:r>
              <w:rPr>
                <w:rFonts w:hint="eastAsia"/>
              </w:rPr>
              <w:t>主要用能设备采购</w:t>
            </w:r>
            <w:r>
              <w:rPr>
                <w:rFonts w:hint="eastAsia" w:ascii="Wingdings" w:hAnsi="Wingdings"/>
                <w:lang w:eastAsia="zh-CN"/>
              </w:rPr>
              <w:sym w:font="Wingdings 2" w:char="00A3"/>
            </w:r>
            <w:r>
              <w:rPr>
                <w:rFonts w:hint="eastAsia"/>
              </w:rPr>
              <w:t>淘汰落后设备更新</w:t>
            </w:r>
            <w:r>
              <w:rPr>
                <w:rFonts w:hint="eastAsia" w:ascii="Wingdings" w:hAnsi="Wingdings"/>
                <w:lang w:eastAsia="zh-CN"/>
              </w:rPr>
              <w:sym w:font="Wingdings 2" w:char="00A3"/>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ind w:left="210" w:hanging="210" w:hangingChars="100"/>
                    <w:jc w:val="left"/>
                  </w:pPr>
                  <w:r>
                    <w:rPr>
                      <w:rFonts w:hint="eastAsia"/>
                      <w:lang w:val="en-US" w:eastAsia="zh-CN"/>
                    </w:rPr>
                    <w:t>新鲜水</w:t>
                  </w:r>
                  <w:r>
                    <w:rPr>
                      <w:rFonts w:hint="eastAsia"/>
                    </w:rPr>
                    <w:t>消耗</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加强节水管理</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rPr>
                      <w:rFonts w:hint="default" w:eastAsia="宋体"/>
                      <w:lang w:val="en-US" w:eastAsia="zh-CN"/>
                    </w:rPr>
                  </w:pPr>
                  <w:r>
                    <w:rPr>
                      <w:rFonts w:hint="eastAsia" w:eastAsia="宋体"/>
                      <w:lang w:val="en-US" w:eastAsia="zh-CN"/>
                    </w:rPr>
                    <w:t>加强锅炉运行管理</w:t>
                  </w:r>
                </w:p>
              </w:tc>
              <w:tc>
                <w:tcPr>
                  <w:tcW w:w="3265" w:type="dxa"/>
                </w:tcPr>
                <w:p>
                  <w:pPr>
                    <w:shd w:val="clear" w:color="auto" w:fill="EBF1DE" w:themeFill="accent3" w:themeFillTint="32"/>
                    <w:jc w:val="left"/>
                    <w:rPr>
                      <w:rFonts w:hint="default" w:eastAsia="宋体"/>
                      <w:lang w:val="en-US" w:eastAsia="zh-CN"/>
                    </w:rPr>
                  </w:pPr>
                  <w:r>
                    <w:rPr>
                      <w:rFonts w:hint="eastAsia" w:eastAsia="宋体"/>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加强节电管理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r>
                    <w:rPr>
                      <w:rFonts w:hint="eastAsia"/>
                      <w:lang w:eastAsia="zh-CN"/>
                    </w:rPr>
                    <w:t>——</w:t>
                  </w:r>
                </w:p>
              </w:tc>
              <w:tc>
                <w:tcPr>
                  <w:tcW w:w="3665" w:type="dxa"/>
                </w:tcPr>
                <w:p>
                  <w:pPr>
                    <w:shd w:val="clear" w:color="auto" w:fill="EBF1DE" w:themeFill="accent3" w:themeFillTint="32"/>
                    <w:jc w:val="left"/>
                    <w:rPr>
                      <w:rFonts w:hint="default" w:eastAsia="宋体"/>
                      <w:lang w:val="en-US" w:eastAsia="zh-CN"/>
                    </w:rPr>
                  </w:pPr>
                </w:p>
              </w:tc>
              <w:tc>
                <w:tcPr>
                  <w:tcW w:w="3265" w:type="dxa"/>
                </w:tcPr>
                <w:p>
                  <w:pPr>
                    <w:shd w:val="clear" w:color="auto" w:fill="EBF1DE" w:themeFill="accent3" w:themeFillTint="32"/>
                    <w:jc w:val="left"/>
                    <w:rPr>
                      <w:rFonts w:hint="default" w:eastAsia="宋体"/>
                      <w:lang w:val="en-US" w:eastAsia="zh-CN"/>
                    </w:rPr>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sym w:font="Wingdings 2" w:char="00A3"/>
            </w:r>
            <w:r>
              <w:rPr>
                <w:rFonts w:hint="eastAsia"/>
              </w:rPr>
              <w:t>节能技术的实施</w:t>
            </w:r>
            <w:r>
              <w:rPr>
                <w:rFonts w:hint="eastAsia" w:ascii="Wingdings" w:hAnsi="Wingdings"/>
                <w:lang w:eastAsia="zh-CN"/>
              </w:rPr>
              <w:sym w:font="Wingdings 2" w:char="00A3"/>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定期（每年）：</w:t>
            </w:r>
            <w:r>
              <w:rPr>
                <w:rFonts w:hint="eastAsia"/>
                <w:i w:val="0"/>
                <w:iCs w:val="0"/>
                <w:highlight w:val="none"/>
                <w:lang w:val="en-US" w:eastAsia="zh-CN"/>
              </w:rPr>
              <w:t>2022</w:t>
            </w:r>
            <w:r>
              <w:rPr>
                <w:rFonts w:hint="eastAsia"/>
                <w:i w:val="0"/>
                <w:iCs w:val="0"/>
                <w:highlight w:val="none"/>
              </w:rPr>
              <w:t>年</w:t>
            </w:r>
            <w:r>
              <w:rPr>
                <w:rFonts w:hint="eastAsia"/>
                <w:i w:val="0"/>
                <w:iCs w:val="0"/>
                <w:highlight w:val="none"/>
                <w:lang w:val="en-US" w:eastAsia="zh-CN"/>
              </w:rPr>
              <w:t>1</w:t>
            </w:r>
            <w:r>
              <w:rPr>
                <w:rFonts w:hint="eastAsia"/>
                <w:i w:val="0"/>
                <w:iCs w:val="0"/>
                <w:highlight w:val="none"/>
              </w:rPr>
              <w:t>月</w:t>
            </w:r>
            <w:r>
              <w:rPr>
                <w:rFonts w:hint="eastAsia"/>
                <w:i w:val="0"/>
                <w:iCs w:val="0"/>
                <w:highlight w:val="none"/>
                <w:lang w:val="en-US" w:eastAsia="zh-CN"/>
              </w:rPr>
              <w:t>28</w:t>
            </w:r>
            <w:r>
              <w:rPr>
                <w:rFonts w:hint="eastAsia"/>
                <w:i w:val="0"/>
                <w:iCs w:val="0"/>
                <w:highlight w:val="none"/>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sym w:font="Wingdings 2" w:char="00A3"/>
            </w:r>
            <w:r>
              <w:rPr>
                <w:rFonts w:hint="eastAsia"/>
              </w:rPr>
              <w:t>其他</w:t>
            </w:r>
          </w:p>
          <w:p>
            <w:pPr>
              <w:shd w:val="clear" w:color="auto" w:fill="EBF1DE" w:themeFill="accent3" w:themeFillTint="32"/>
            </w:pPr>
          </w:p>
          <w:p>
            <w:pPr>
              <w:shd w:val="clear" w:color="auto" w:fill="EBF1DE" w:themeFill="accent3" w:themeFillTint="32"/>
              <w:rPr>
                <w:rFonts w:hint="default"/>
                <w:lang w:val="en-US" w:eastAsia="zh-CN"/>
              </w:rPr>
            </w:pPr>
            <w:r>
              <w:rPr>
                <w:rFonts w:hint="eastAsia"/>
              </w:rPr>
              <w:t>《能效测试报告》编号：</w:t>
            </w:r>
            <w:r>
              <w:rPr>
                <w:rFonts w:hint="eastAsia"/>
                <w:lang w:val="en-US" w:eastAsia="zh-CN"/>
              </w:rPr>
              <w:t>企业目前未开展能效测试</w:t>
            </w:r>
          </w:p>
          <w:p>
            <w:pPr>
              <w:shd w:val="clear" w:color="auto" w:fill="EBF1DE" w:themeFill="accent3" w:themeFillTint="32"/>
              <w:rPr>
                <w:rFonts w:hint="default" w:eastAsia="宋体"/>
                <w:lang w:val="en-US" w:eastAsia="zh-CN"/>
              </w:rPr>
            </w:pPr>
            <w:r>
              <w:rPr>
                <w:rFonts w:hint="eastAsia"/>
              </w:rPr>
              <w:t>达标评价：</w:t>
            </w:r>
            <w:r>
              <w:rPr>
                <w:rFonts w:hint="eastAsia" w:ascii="Wingdings" w:hAnsi="Wingdings"/>
                <w:lang w:eastAsia="zh-CN"/>
              </w:rPr>
              <w:sym w:font="Wingdings 2" w:char="00A3"/>
            </w:r>
            <w:r>
              <w:rPr>
                <w:rFonts w:hint="eastAsia"/>
              </w:rPr>
              <w:t>符合要求</w:t>
            </w:r>
            <w:r>
              <w:rPr>
                <w:rFonts w:hint="eastAsia" w:ascii="Wingdings" w:hAnsi="Wingdings"/>
                <w:lang w:eastAsia="zh-CN"/>
              </w:rPr>
              <w:sym w:font="Wingdings 2" w:char="0052"/>
            </w:r>
            <w:r>
              <w:rPr>
                <w:rFonts w:hint="eastAsia"/>
              </w:rPr>
              <w:t>存在不足，说明</w:t>
            </w:r>
            <w:r>
              <w:rPr>
                <w:rFonts w:hint="eastAsia"/>
                <w:lang w:eastAsia="zh-CN"/>
              </w:rPr>
              <w:t>：</w:t>
            </w:r>
            <w:r>
              <w:rPr>
                <w:rFonts w:hint="eastAsia"/>
                <w:lang w:val="en-US" w:eastAsia="zh-CN"/>
              </w:rPr>
              <w:t>建议企业结合实际适时开展。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highlight w:val="none"/>
                <w:lang w:val="en-US" w:eastAsia="zh-CN"/>
              </w:rPr>
              <w:t>2022</w:t>
            </w:r>
            <w:r>
              <w:rPr>
                <w:rFonts w:hint="eastAsia"/>
                <w:highlight w:val="none"/>
              </w:rPr>
              <w:t>年</w:t>
            </w:r>
            <w:r>
              <w:rPr>
                <w:rFonts w:hint="eastAsia"/>
                <w:highlight w:val="none"/>
                <w:lang w:val="en-US" w:eastAsia="zh-CN"/>
              </w:rPr>
              <w:t>6</w:t>
            </w:r>
            <w:r>
              <w:rPr>
                <w:rFonts w:hint="eastAsia"/>
                <w:highlight w:val="none"/>
              </w:rPr>
              <w:t>月</w:t>
            </w:r>
            <w:r>
              <w:rPr>
                <w:rFonts w:hint="eastAsia"/>
                <w:highlight w:val="none"/>
                <w:lang w:val="en-US" w:eastAsia="zh-CN"/>
              </w:rPr>
              <w:t>22-23</w:t>
            </w:r>
            <w:r>
              <w:rPr>
                <w:rFonts w:hint="eastAsia"/>
                <w:highlight w:val="none"/>
              </w:rPr>
              <w:t>日</w:t>
            </w:r>
            <w:r>
              <w:rPr>
                <w:rFonts w:hint="eastAsia"/>
              </w:rPr>
              <w:t>实施了能源管理体系内部审核，对能源管理体系的符合性和有效性进行了审核。内审发现的</w:t>
            </w:r>
            <w:r>
              <w:rPr>
                <w:rFonts w:hint="eastAsia"/>
                <w:highlight w:val="none"/>
                <w:lang w:val="en-US" w:eastAsia="zh-CN"/>
              </w:rPr>
              <w:t>1</w:t>
            </w:r>
            <w:r>
              <w:rPr>
                <w:rFonts w:hint="eastAsia"/>
                <w:highlight w:val="none"/>
              </w:rPr>
              <w:t>项</w:t>
            </w:r>
            <w:r>
              <w:rPr>
                <w:rFonts w:hint="eastAsia"/>
              </w:rPr>
              <w:t>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sym w:font="Wingdings 2" w:char="00A3"/>
            </w:r>
            <w:r>
              <w:rPr>
                <w:rFonts w:hint="eastAsia"/>
              </w:rPr>
              <w:t>未对所有班次的现场都进行审核，只</w:t>
            </w:r>
            <w:r>
              <w:rPr>
                <w:rFonts w:hint="eastAsia"/>
                <w:lang w:val="en-US" w:eastAsia="zh-CN"/>
              </w:rPr>
              <w:t>远程</w:t>
            </w:r>
            <w:r>
              <w:rPr>
                <w:rFonts w:hint="eastAsia"/>
              </w:rPr>
              <w:t>审核了日班的现场操作，并且有代表性地审核了所有班次的记录。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highlight w:val="none"/>
                <w:lang w:val="en-US" w:eastAsia="zh-CN"/>
              </w:rPr>
              <w:t>2022</w:t>
            </w:r>
            <w:r>
              <w:rPr>
                <w:rFonts w:hint="eastAsia"/>
                <w:highlight w:val="none"/>
              </w:rPr>
              <w:t>年</w:t>
            </w:r>
            <w:r>
              <w:rPr>
                <w:rFonts w:hint="eastAsia"/>
                <w:highlight w:val="none"/>
                <w:lang w:val="en-US" w:eastAsia="zh-CN"/>
              </w:rPr>
              <w:t>7</w:t>
            </w:r>
            <w:r>
              <w:rPr>
                <w:rFonts w:hint="eastAsia"/>
                <w:highlight w:val="none"/>
              </w:rPr>
              <w:t>月</w:t>
            </w:r>
            <w:r>
              <w:rPr>
                <w:rFonts w:hint="eastAsia"/>
                <w:highlight w:val="none"/>
                <w:lang w:val="en-US" w:eastAsia="zh-CN"/>
              </w:rPr>
              <w:t>10</w:t>
            </w:r>
            <w:r>
              <w:rPr>
                <w:rFonts w:hint="eastAsia"/>
                <w:highlight w:val="none"/>
              </w:rPr>
              <w:t>日</w:t>
            </w:r>
            <w:r>
              <w:rPr>
                <w:rFonts w:hint="eastAsia"/>
              </w:rPr>
              <w:t>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10"/>
        <w:tblW w:w="9927" w:type="dxa"/>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96"/>
        <w:gridCol w:w="779"/>
        <w:gridCol w:w="780"/>
        <w:gridCol w:w="779"/>
        <w:gridCol w:w="780"/>
        <w:gridCol w:w="780"/>
        <w:gridCol w:w="687"/>
        <w:gridCol w:w="755"/>
        <w:gridCol w:w="645"/>
        <w:gridCol w:w="710"/>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96"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687"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645"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1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36"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none"/>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96"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687"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5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64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1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36"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65" w:hRule="atLeast"/>
        </w:trPr>
        <w:tc>
          <w:tcPr>
            <w:tcW w:w="2496"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687"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vAlign w:val="center"/>
          </w:tcPr>
          <w:p>
            <w:pPr>
              <w:shd w:val="clear" w:color="auto" w:fill="EBF1DE" w:themeFill="accent3" w:themeFillTint="32"/>
              <w:rPr>
                <w:lang w:eastAsia="ja-JP"/>
              </w:rPr>
            </w:pPr>
          </w:p>
        </w:tc>
        <w:tc>
          <w:tcPr>
            <w:tcW w:w="645" w:type="dxa"/>
            <w:shd w:val="clear" w:color="auto" w:fill="EBF1DE" w:themeFill="accent3" w:themeFillTint="32"/>
            <w:vAlign w:val="center"/>
          </w:tcPr>
          <w:p>
            <w:pPr>
              <w:shd w:val="clear" w:color="auto" w:fill="EBF1DE" w:themeFill="accent3" w:themeFillTint="32"/>
              <w:rPr>
                <w:lang w:eastAsia="ja-JP"/>
              </w:rPr>
            </w:pPr>
          </w:p>
        </w:tc>
        <w:tc>
          <w:tcPr>
            <w:tcW w:w="710" w:type="dxa"/>
            <w:shd w:val="clear" w:color="auto" w:fill="EBF1DE" w:themeFill="accent3" w:themeFillTint="32"/>
            <w:vAlign w:val="center"/>
          </w:tcPr>
          <w:p>
            <w:pPr>
              <w:shd w:val="clear" w:color="auto" w:fill="EBF1DE" w:themeFill="accent3" w:themeFillTint="32"/>
              <w:rPr>
                <w:lang w:eastAsia="ja-JP"/>
              </w:rPr>
            </w:pPr>
          </w:p>
        </w:tc>
        <w:tc>
          <w:tcPr>
            <w:tcW w:w="736"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96"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687" w:type="dxa"/>
            <w:shd w:val="clear" w:color="auto" w:fill="EBF1DE" w:themeFill="accent3" w:themeFillTint="32"/>
            <w:vAlign w:val="center"/>
          </w:tcPr>
          <w:p>
            <w:pPr>
              <w:shd w:val="clear" w:color="auto" w:fill="EBF1DE" w:themeFill="accent3" w:themeFillTint="32"/>
            </w:pPr>
            <w:r>
              <w:rPr>
                <w:rFonts w:hint="eastAsia"/>
              </w:rPr>
              <w:t>7.3</w:t>
            </w:r>
          </w:p>
        </w:tc>
        <w:tc>
          <w:tcPr>
            <w:tcW w:w="755" w:type="dxa"/>
            <w:shd w:val="clear" w:color="auto" w:fill="EBF1DE" w:themeFill="accent3" w:themeFillTint="32"/>
            <w:vAlign w:val="center"/>
          </w:tcPr>
          <w:p>
            <w:pPr>
              <w:shd w:val="clear" w:color="auto" w:fill="EBF1DE" w:themeFill="accent3" w:themeFillTint="32"/>
            </w:pPr>
            <w:r>
              <w:rPr>
                <w:rFonts w:hint="eastAsia"/>
              </w:rPr>
              <w:t>7.4</w:t>
            </w:r>
          </w:p>
        </w:tc>
        <w:tc>
          <w:tcPr>
            <w:tcW w:w="645" w:type="dxa"/>
            <w:shd w:val="clear" w:color="auto" w:fill="EBF1DE" w:themeFill="accent3" w:themeFillTint="32"/>
            <w:vAlign w:val="center"/>
          </w:tcPr>
          <w:p>
            <w:pPr>
              <w:shd w:val="clear" w:color="auto" w:fill="EBF1DE" w:themeFill="accent3" w:themeFillTint="32"/>
            </w:pPr>
            <w:r>
              <w:rPr>
                <w:rFonts w:hint="eastAsia"/>
              </w:rPr>
              <w:t>7.5</w:t>
            </w:r>
          </w:p>
        </w:tc>
        <w:tc>
          <w:tcPr>
            <w:tcW w:w="7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none"/>
              </w:rPr>
              <w:t>8.1</w:t>
            </w:r>
          </w:p>
        </w:tc>
        <w:tc>
          <w:tcPr>
            <w:tcW w:w="736"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96"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687"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5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64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1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lang w:val="en-US" w:eastAsia="zh-CN"/>
              </w:rPr>
              <w:t>1</w:t>
            </w:r>
          </w:p>
        </w:tc>
        <w:tc>
          <w:tcPr>
            <w:tcW w:w="736"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96"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687"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vAlign w:val="center"/>
          </w:tcPr>
          <w:p>
            <w:pPr>
              <w:shd w:val="clear" w:color="auto" w:fill="EBF1DE" w:themeFill="accent3" w:themeFillTint="32"/>
              <w:rPr>
                <w:lang w:eastAsia="ja-JP"/>
              </w:rPr>
            </w:pPr>
          </w:p>
        </w:tc>
        <w:tc>
          <w:tcPr>
            <w:tcW w:w="645" w:type="dxa"/>
            <w:shd w:val="clear" w:color="auto" w:fill="EBF1DE" w:themeFill="accent3" w:themeFillTint="32"/>
            <w:vAlign w:val="center"/>
          </w:tcPr>
          <w:p>
            <w:pPr>
              <w:shd w:val="clear" w:color="auto" w:fill="EBF1DE" w:themeFill="accent3" w:themeFillTint="32"/>
              <w:rPr>
                <w:lang w:eastAsia="ja-JP"/>
              </w:rPr>
            </w:pPr>
          </w:p>
        </w:tc>
        <w:tc>
          <w:tcPr>
            <w:tcW w:w="71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p>
        </w:tc>
        <w:tc>
          <w:tcPr>
            <w:tcW w:w="736"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96"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rPr>
              <w:t>10</w:t>
            </w:r>
            <w:r>
              <w:rPr>
                <w:rFonts w:hint="eastAsia"/>
                <w:highlight w:val="none"/>
                <w:lang w:val="en-US" w:eastAsia="zh-CN"/>
              </w:rPr>
              <w:t>.1</w:t>
            </w:r>
          </w:p>
        </w:tc>
        <w:tc>
          <w:tcPr>
            <w:tcW w:w="687"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10.2</w:t>
            </w:r>
          </w:p>
        </w:tc>
        <w:tc>
          <w:tcPr>
            <w:tcW w:w="755" w:type="dxa"/>
            <w:shd w:val="clear" w:color="auto" w:fill="EBF1DE" w:themeFill="accent3" w:themeFillTint="32"/>
            <w:vAlign w:val="center"/>
          </w:tcPr>
          <w:p>
            <w:pPr>
              <w:shd w:val="clear" w:color="auto" w:fill="EBF1DE" w:themeFill="accent3" w:themeFillTint="32"/>
              <w:rPr>
                <w:lang w:eastAsia="ja-JP"/>
              </w:rPr>
            </w:pPr>
          </w:p>
        </w:tc>
        <w:tc>
          <w:tcPr>
            <w:tcW w:w="645" w:type="dxa"/>
            <w:shd w:val="clear" w:color="auto" w:fill="EBF1DE" w:themeFill="accent3" w:themeFillTint="32"/>
            <w:vAlign w:val="center"/>
          </w:tcPr>
          <w:p>
            <w:pPr>
              <w:shd w:val="clear" w:color="auto" w:fill="EBF1DE" w:themeFill="accent3" w:themeFillTint="32"/>
              <w:rPr>
                <w:lang w:eastAsia="ja-JP"/>
              </w:rPr>
            </w:pPr>
            <w:bookmarkStart w:id="34" w:name="_GoBack"/>
            <w:bookmarkEnd w:id="34"/>
          </w:p>
        </w:tc>
        <w:tc>
          <w:tcPr>
            <w:tcW w:w="710" w:type="dxa"/>
            <w:shd w:val="clear" w:color="auto" w:fill="EBF1DE" w:themeFill="accent3" w:themeFillTint="32"/>
            <w:vAlign w:val="center"/>
          </w:tcPr>
          <w:p>
            <w:pPr>
              <w:shd w:val="clear" w:color="auto" w:fill="EBF1DE" w:themeFill="accent3" w:themeFillTint="32"/>
              <w:rPr>
                <w:lang w:eastAsia="ja-JP"/>
              </w:rPr>
            </w:pPr>
          </w:p>
        </w:tc>
        <w:tc>
          <w:tcPr>
            <w:tcW w:w="736"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96"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none"/>
                <w:lang w:val="en-US" w:eastAsia="zh-CN"/>
              </w:rPr>
              <w:t>3</w:t>
            </w:r>
          </w:p>
        </w:tc>
        <w:tc>
          <w:tcPr>
            <w:tcW w:w="687"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55" w:type="dxa"/>
            <w:shd w:val="clear" w:color="auto" w:fill="EBF1DE" w:themeFill="accent3" w:themeFillTint="32"/>
            <w:vAlign w:val="center"/>
          </w:tcPr>
          <w:p>
            <w:pPr>
              <w:shd w:val="clear" w:color="auto" w:fill="EBF1DE" w:themeFill="accent3" w:themeFillTint="32"/>
              <w:rPr>
                <w:lang w:eastAsia="ja-JP"/>
              </w:rPr>
            </w:pPr>
          </w:p>
        </w:tc>
        <w:tc>
          <w:tcPr>
            <w:tcW w:w="645" w:type="dxa"/>
            <w:shd w:val="clear" w:color="auto" w:fill="EBF1DE" w:themeFill="accent3" w:themeFillTint="32"/>
            <w:vAlign w:val="center"/>
          </w:tcPr>
          <w:p>
            <w:pPr>
              <w:shd w:val="clear" w:color="auto" w:fill="EBF1DE" w:themeFill="accent3" w:themeFillTint="32"/>
              <w:rPr>
                <w:lang w:eastAsia="ja-JP"/>
              </w:rPr>
            </w:pPr>
          </w:p>
        </w:tc>
        <w:tc>
          <w:tcPr>
            <w:tcW w:w="710" w:type="dxa"/>
            <w:shd w:val="clear" w:color="auto" w:fill="EBF1DE" w:themeFill="accent3" w:themeFillTint="32"/>
            <w:vAlign w:val="center"/>
          </w:tcPr>
          <w:p>
            <w:pPr>
              <w:shd w:val="clear" w:color="auto" w:fill="EBF1DE" w:themeFill="accent3" w:themeFillTint="32"/>
              <w:rPr>
                <w:lang w:eastAsia="ja-JP"/>
              </w:rPr>
            </w:pPr>
          </w:p>
        </w:tc>
        <w:tc>
          <w:tcPr>
            <w:tcW w:w="736"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96"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lang w:val="en-US" w:eastAsia="zh-CN"/>
              </w:rPr>
              <w:t>1</w:t>
            </w:r>
          </w:p>
        </w:tc>
        <w:tc>
          <w:tcPr>
            <w:tcW w:w="687"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vAlign w:val="center"/>
          </w:tcPr>
          <w:p>
            <w:pPr>
              <w:shd w:val="clear" w:color="auto" w:fill="EBF1DE" w:themeFill="accent3" w:themeFillTint="32"/>
              <w:rPr>
                <w:lang w:eastAsia="ja-JP"/>
              </w:rPr>
            </w:pPr>
          </w:p>
        </w:tc>
        <w:tc>
          <w:tcPr>
            <w:tcW w:w="645" w:type="dxa"/>
            <w:shd w:val="clear" w:color="auto" w:fill="EBF1DE" w:themeFill="accent3" w:themeFillTint="32"/>
            <w:vAlign w:val="center"/>
          </w:tcPr>
          <w:p>
            <w:pPr>
              <w:shd w:val="clear" w:color="auto" w:fill="EBF1DE" w:themeFill="accent3" w:themeFillTint="32"/>
              <w:rPr>
                <w:lang w:eastAsia="ja-JP"/>
              </w:rPr>
            </w:pPr>
          </w:p>
        </w:tc>
        <w:tc>
          <w:tcPr>
            <w:tcW w:w="710" w:type="dxa"/>
            <w:shd w:val="clear" w:color="auto" w:fill="EBF1DE" w:themeFill="accent3" w:themeFillTint="32"/>
            <w:vAlign w:val="center"/>
          </w:tcPr>
          <w:p>
            <w:pPr>
              <w:shd w:val="clear" w:color="auto" w:fill="EBF1DE" w:themeFill="accent3" w:themeFillTint="32"/>
              <w:rPr>
                <w:lang w:eastAsia="ja-JP"/>
              </w:rPr>
            </w:pPr>
          </w:p>
        </w:tc>
        <w:tc>
          <w:tcPr>
            <w:tcW w:w="736"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756" w:firstLineChars="400"/>
      <w:jc w:val="left"/>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A7FCB4"/>
    <w:multiLevelType w:val="singleLevel"/>
    <w:tmpl w:val="84A7FCB4"/>
    <w:lvl w:ilvl="0" w:tentative="0">
      <w:start w:val="1"/>
      <w:numFmt w:val="bullet"/>
      <w:pStyle w:val="4"/>
      <w:lvlText w:val=""/>
      <w:lvlJc w:val="left"/>
      <w:pPr>
        <w:tabs>
          <w:tab w:val="left" w:pos="2040"/>
        </w:tabs>
        <w:ind w:left="2040" w:hanging="360"/>
      </w:pPr>
      <w:rPr>
        <w:rFonts w:hint="default" w:ascii="Wingdings" w:hAnsi="Wingdings"/>
      </w:r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AAF4463"/>
    <w:rsid w:val="194948D1"/>
    <w:rsid w:val="2B5958E8"/>
    <w:rsid w:val="49AB0A0E"/>
    <w:rsid w:val="7AB543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Title"/>
    <w:basedOn w:val="1"/>
    <w:next w:val="1"/>
    <w:qFormat/>
    <w:uiPriority w:val="10"/>
    <w:pPr>
      <w:spacing w:before="240" w:after="60"/>
      <w:jc w:val="center"/>
      <w:outlineLvl w:val="0"/>
    </w:pPr>
    <w:rPr>
      <w:rFonts w:ascii="Cambria" w:hAnsi="Cambria"/>
      <w:b/>
      <w:bCs/>
      <w:sz w:val="32"/>
      <w:szCs w:val="32"/>
    </w:rPr>
  </w:style>
  <w:style w:type="paragraph" w:styleId="4">
    <w:name w:val="List Bullet 5"/>
    <w:basedOn w:val="1"/>
    <w:semiHidden/>
    <w:unhideWhenUsed/>
    <w:uiPriority w:val="99"/>
    <w:pPr>
      <w:numPr>
        <w:ilvl w:val="0"/>
        <w:numId w:val="1"/>
      </w:numPr>
    </w:p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4</TotalTime>
  <ScaleCrop>false</ScaleCrop>
  <LinksUpToDate>false</LinksUpToDate>
  <CharactersWithSpaces>26902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2022-10-22T13:03:56Z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