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pPr>
        <w:rPr>
          <w:b/>
          <w:sz w:val="22"/>
          <w:szCs w:val="22"/>
        </w:rPr>
      </w:pPr>
    </w:p>
    <w:tbl>
      <w:tblPr>
        <w:tblStyle w:val="8"/>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both"/>
              <w:rPr>
                <w:rFonts w:hint="eastAsia" w:eastAsia="宋体"/>
                <w:b/>
                <w:sz w:val="20"/>
                <w:lang w:eastAsia="zh-CN"/>
              </w:rPr>
            </w:pPr>
            <w:r>
              <w:rPr>
                <w:rFonts w:hint="eastAsia"/>
                <w:b/>
                <w:sz w:val="20"/>
                <w:lang w:eastAsia="zh-CN"/>
              </w:rPr>
              <w:t>沧县青山金属制品有限公司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rFonts w:hint="default" w:eastAsia="宋体"/>
                <w:b/>
                <w:sz w:val="20"/>
                <w:lang w:val="en-US" w:eastAsia="zh-CN"/>
              </w:rPr>
            </w:pPr>
            <w:r>
              <w:rPr>
                <w:rFonts w:hint="eastAsia"/>
                <w:b/>
                <w:sz w:val="20"/>
                <w:lang w:val="en-US" w:eastAsia="zh-CN"/>
              </w:rPr>
              <w:t>17.05.03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both"/>
              <w:rPr>
                <w:rFonts w:hint="eastAsia" w:eastAsia="宋体"/>
                <w:b/>
                <w:sz w:val="20"/>
                <w:lang w:eastAsia="zh-CN"/>
              </w:rPr>
            </w:pPr>
            <w:r>
              <w:rPr>
                <w:rFonts w:hint="eastAsia"/>
                <w:b/>
                <w:sz w:val="20"/>
                <w:lang w:eastAsia="zh-CN"/>
              </w:rPr>
              <w:t>杨园</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both"/>
              <w:rPr>
                <w:b/>
                <w:sz w:val="20"/>
              </w:rPr>
            </w:pPr>
            <w:r>
              <w:rPr>
                <w:rFonts w:hint="eastAsia"/>
                <w:b/>
                <w:sz w:val="20"/>
                <w:lang w:val="en-US" w:eastAsia="zh-CN"/>
              </w:rPr>
              <w:t>17.05.03</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eastAsia" w:eastAsia="宋体"/>
                <w:b/>
                <w:sz w:val="20"/>
                <w:lang w:eastAsia="zh-CN"/>
              </w:rPr>
            </w:pPr>
            <w:r>
              <w:rPr>
                <w:rFonts w:hint="eastAsia"/>
                <w:b/>
                <w:sz w:val="20"/>
                <w:lang w:eastAsia="zh-CN"/>
              </w:rPr>
              <w:t>企业会议室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both"/>
              <w:rPr>
                <w:rFonts w:hint="eastAsia" w:eastAsia="宋体"/>
                <w:b/>
                <w:sz w:val="20"/>
                <w:lang w:eastAsia="zh-CN"/>
              </w:rPr>
            </w:pPr>
            <w:r>
              <w:rPr>
                <w:rFonts w:hint="eastAsia"/>
                <w:b/>
                <w:sz w:val="20"/>
                <w:lang w:eastAsia="zh-CN"/>
              </w:rPr>
              <w:t>周文廷</w:t>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both"/>
              <w:rPr>
                <w:rFonts w:hint="eastAsia"/>
                <w:b/>
                <w:sz w:val="20"/>
                <w:lang w:eastAsia="zh-CN"/>
              </w:rPr>
            </w:pPr>
            <w:r>
              <w:rPr>
                <w:rFonts w:hint="eastAsia"/>
                <w:b/>
                <w:sz w:val="20"/>
                <w:lang w:eastAsia="zh-CN"/>
              </w:rPr>
              <w:t>生产工艺/</w:t>
            </w:r>
          </w:p>
          <w:p>
            <w:pPr>
              <w:snapToGrid w:val="0"/>
              <w:spacing w:line="280" w:lineRule="exact"/>
              <w:jc w:val="both"/>
              <w:rPr>
                <w:rFonts w:hint="eastAsia"/>
                <w:b/>
                <w:sz w:val="20"/>
                <w:lang w:eastAsia="zh-CN"/>
              </w:rPr>
            </w:pPr>
            <w:r>
              <w:rPr>
                <w:rFonts w:hint="eastAsia"/>
                <w:b/>
                <w:sz w:val="20"/>
                <w:lang w:eastAsia="zh-CN"/>
              </w:rPr>
              <w:t>服务过程</w:t>
            </w:r>
          </w:p>
        </w:tc>
        <w:tc>
          <w:tcPr>
            <w:tcW w:w="8424" w:type="dxa"/>
            <w:gridSpan w:val="7"/>
            <w:vAlign w:val="center"/>
          </w:tcPr>
          <w:p>
            <w:pPr>
              <w:snapToGrid w:val="0"/>
              <w:spacing w:line="280" w:lineRule="exact"/>
              <w:jc w:val="both"/>
              <w:rPr>
                <w:rFonts w:hint="eastAsia"/>
                <w:b/>
                <w:sz w:val="20"/>
                <w:lang w:val="en-US" w:eastAsia="zh-CN"/>
              </w:rPr>
            </w:pPr>
            <w:r>
              <w:rPr>
                <w:rFonts w:hint="eastAsia"/>
                <w:b/>
                <w:sz w:val="20"/>
                <w:lang w:val="en-US" w:eastAsia="zh-CN"/>
              </w:rPr>
              <w:t>压铸铝铸件加工工艺流程：</w:t>
            </w:r>
          </w:p>
          <w:p>
            <w:pPr>
              <w:snapToGrid w:val="0"/>
              <w:spacing w:line="280" w:lineRule="exact"/>
              <w:jc w:val="both"/>
              <w:rPr>
                <w:rFonts w:hint="eastAsia"/>
                <w:b/>
                <w:sz w:val="20"/>
                <w:lang w:val="en-US" w:eastAsia="zh-CN"/>
              </w:rPr>
            </w:pPr>
            <w:r>
              <w:rPr>
                <w:rFonts w:hint="eastAsia"/>
                <w:b/>
                <w:sz w:val="20"/>
                <w:lang w:val="en-US" w:eastAsia="zh-CN"/>
              </w:rPr>
              <w:t>原料→熔化→压铸→喷砂→机加工→产品</w:t>
            </w:r>
          </w:p>
          <w:p>
            <w:pPr>
              <w:snapToGrid w:val="0"/>
              <w:spacing w:line="280" w:lineRule="exact"/>
              <w:jc w:val="both"/>
              <w:rPr>
                <w:rFonts w:hint="default"/>
                <w:b/>
                <w:sz w:val="20"/>
                <w:lang w:val="en-US" w:eastAsia="zh-CN"/>
              </w:rPr>
            </w:pPr>
            <w:r>
              <w:rPr>
                <w:rFonts w:hint="eastAsia"/>
                <w:b/>
                <w:sz w:val="20"/>
                <w:lang w:val="en-US" w:eastAsia="zh-CN"/>
              </w:rPr>
              <w:t>浇铸铝铸件加工工艺流程：</w:t>
            </w:r>
          </w:p>
          <w:p>
            <w:pPr>
              <w:snapToGrid w:val="0"/>
              <w:spacing w:line="280" w:lineRule="exact"/>
              <w:jc w:val="both"/>
              <w:rPr>
                <w:rFonts w:hint="eastAsia"/>
                <w:b/>
                <w:sz w:val="20"/>
                <w:lang w:eastAsia="zh-CN"/>
              </w:rPr>
            </w:pPr>
            <w:r>
              <w:rPr>
                <w:rFonts w:hint="eastAsia"/>
                <w:b/>
                <w:sz w:val="20"/>
                <w:lang w:val="en-US" w:eastAsia="zh-CN"/>
              </w:rPr>
              <w:t>原料→熔化→造型→浇注→退火→清理→喷砂→机加工→产品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rPr>
              <w:t>关键</w:t>
            </w:r>
            <w:r>
              <w:rPr>
                <w:rFonts w:hint="eastAsia"/>
                <w:b/>
                <w:sz w:val="20"/>
                <w:lang w:val="en-US" w:eastAsia="zh-CN"/>
              </w:rPr>
              <w:t>过程及需要确认的过程及主要控制参数</w:t>
            </w:r>
          </w:p>
        </w:tc>
        <w:tc>
          <w:tcPr>
            <w:tcW w:w="8424" w:type="dxa"/>
            <w:gridSpan w:val="7"/>
            <w:vAlign w:val="center"/>
          </w:tcPr>
          <w:p>
            <w:pPr>
              <w:snapToGrid w:val="0"/>
              <w:spacing w:line="280" w:lineRule="exact"/>
              <w:jc w:val="both"/>
              <w:rPr>
                <w:rFonts w:hint="eastAsia"/>
                <w:b/>
                <w:sz w:val="20"/>
                <w:lang w:val="en-US" w:eastAsia="zh-CN"/>
              </w:rPr>
            </w:pPr>
            <w:r>
              <w:rPr>
                <w:rFonts w:hint="eastAsia"/>
                <w:b/>
                <w:sz w:val="20"/>
                <w:lang w:eastAsia="zh-CN"/>
              </w:rPr>
              <w:t>关键过程：熔化、造型、浇铸、机加工、过程检验</w:t>
            </w:r>
            <w:r>
              <w:rPr>
                <w:rFonts w:hint="eastAsia"/>
                <w:b/>
                <w:sz w:val="20"/>
                <w:lang w:val="en-US" w:eastAsia="zh-CN"/>
              </w:rPr>
              <w:t xml:space="preserve"> ，参数：配料、温度、时间、模具、客户要求、尺寸、符合图纸要求等  </w:t>
            </w:r>
          </w:p>
          <w:p>
            <w:pPr>
              <w:snapToGrid w:val="0"/>
              <w:spacing w:line="280" w:lineRule="exact"/>
              <w:jc w:val="both"/>
              <w:rPr>
                <w:rFonts w:hint="default" w:eastAsia="宋体"/>
                <w:b/>
                <w:sz w:val="20"/>
                <w:lang w:val="en-US" w:eastAsia="zh-CN"/>
              </w:rPr>
            </w:pPr>
            <w:r>
              <w:rPr>
                <w:rFonts w:hint="eastAsia"/>
                <w:b/>
                <w:sz w:val="20"/>
                <w:lang w:val="en-US" w:eastAsia="zh-CN"/>
              </w:rPr>
              <w:t>需确认过程：浇铸、压铸，参数：压力、流速、时间、温度、尺寸等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质量</w:t>
            </w:r>
            <w:r>
              <w:rPr>
                <w:rFonts w:hint="eastAsia"/>
                <w:b/>
                <w:sz w:val="20"/>
              </w:rPr>
              <w:t>法律法规的要求及产品标准</w:t>
            </w:r>
          </w:p>
        </w:tc>
        <w:tc>
          <w:tcPr>
            <w:tcW w:w="8424" w:type="dxa"/>
            <w:gridSpan w:val="7"/>
            <w:vAlign w:val="center"/>
          </w:tcPr>
          <w:p>
            <w:pPr>
              <w:snapToGrid w:val="0"/>
              <w:spacing w:line="280" w:lineRule="exact"/>
              <w:jc w:val="both"/>
              <w:rPr>
                <w:rFonts w:hint="eastAsia"/>
                <w:b/>
                <w:sz w:val="20"/>
              </w:rPr>
            </w:pPr>
            <w:r>
              <w:rPr>
                <w:rFonts w:hint="eastAsia"/>
                <w:b/>
                <w:sz w:val="20"/>
              </w:rPr>
              <w:t>GB/T 9438-2013《铝合金铸件》</w:t>
            </w:r>
          </w:p>
          <w:p>
            <w:pPr>
              <w:snapToGrid w:val="0"/>
              <w:spacing w:line="280" w:lineRule="exact"/>
              <w:jc w:val="both"/>
              <w:rPr>
                <w:rFonts w:hint="eastAsia"/>
                <w:b/>
                <w:sz w:val="20"/>
              </w:rPr>
            </w:pPr>
            <w:r>
              <w:rPr>
                <w:rFonts w:hint="eastAsia"/>
                <w:b/>
                <w:sz w:val="20"/>
              </w:rPr>
              <w:t xml:space="preserve">GB/T 1173-2013《铸造铝合金》 </w:t>
            </w:r>
          </w:p>
          <w:p>
            <w:pPr>
              <w:snapToGrid w:val="0"/>
              <w:spacing w:line="280" w:lineRule="exact"/>
              <w:jc w:val="both"/>
              <w:rPr>
                <w:rFonts w:hint="eastAsia"/>
                <w:b/>
                <w:sz w:val="20"/>
              </w:rPr>
            </w:pPr>
            <w:r>
              <w:rPr>
                <w:rFonts w:hint="eastAsia"/>
                <w:b/>
                <w:sz w:val="20"/>
              </w:rPr>
              <w:t xml:space="preserve">GB/T 6414-2017《铸件 尺寸公差和机械加工余量》 </w:t>
            </w:r>
          </w:p>
          <w:p>
            <w:pPr>
              <w:snapToGrid w:val="0"/>
              <w:spacing w:line="280" w:lineRule="exact"/>
              <w:jc w:val="both"/>
              <w:rPr>
                <w:rFonts w:hint="eastAsia"/>
                <w:b/>
                <w:sz w:val="20"/>
              </w:rPr>
            </w:pPr>
            <w:r>
              <w:rPr>
                <w:rFonts w:hint="eastAsia"/>
                <w:b/>
                <w:sz w:val="20"/>
              </w:rPr>
              <w:t xml:space="preserve">GB/T 11351-2017《铸件重量公差》 </w:t>
            </w:r>
          </w:p>
          <w:p>
            <w:pPr>
              <w:snapToGrid w:val="0"/>
              <w:spacing w:line="280" w:lineRule="exact"/>
              <w:jc w:val="both"/>
              <w:rPr>
                <w:rFonts w:hint="eastAsia" w:eastAsia="宋体"/>
                <w:b/>
                <w:sz w:val="20"/>
                <w:lang w:eastAsia="zh-CN"/>
              </w:rPr>
            </w:pPr>
            <w:r>
              <w:rPr>
                <w:rFonts w:hint="eastAsia"/>
                <w:b/>
                <w:sz w:val="20"/>
              </w:rPr>
              <w:t>YB/T 036.6-1992《冶金设备制造通用技术条件 铝合金铸件》</w:t>
            </w:r>
            <w:r>
              <w:rPr>
                <w:rFonts w:hint="eastAsia"/>
                <w:b/>
                <w:sz w:val="20"/>
                <w:lang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pPr>
              <w:snapToGrid w:val="0"/>
              <w:spacing w:line="280" w:lineRule="exact"/>
              <w:jc w:val="left"/>
              <w:rPr>
                <w:rFonts w:hint="default" w:eastAsia="宋体"/>
                <w:b/>
                <w:sz w:val="20"/>
                <w:lang w:val="en-US" w:eastAsia="zh-CN"/>
              </w:rPr>
            </w:pPr>
            <w:r>
              <w:rPr>
                <w:rFonts w:hint="eastAsia"/>
                <w:b/>
                <w:sz w:val="20"/>
                <w:lang w:val="en-US" w:eastAsia="zh-CN"/>
              </w:rPr>
              <w:t>检验项目：外观（砂眼、平整度等）、尺寸、成分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both"/>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both"/>
              <w:rPr>
                <w:rFonts w:hint="eastAsia" w:eastAsia="宋体"/>
                <w:b/>
                <w:sz w:val="20"/>
                <w:lang w:eastAsia="zh-CN"/>
              </w:rPr>
            </w:pPr>
            <w:r>
              <w:rPr>
                <w:rFonts w:hint="eastAsia"/>
                <w:b/>
                <w:sz w:val="20"/>
                <w:lang w:eastAsia="zh-CN"/>
              </w:rPr>
              <w:t>杨园</w:t>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both"/>
              <w:rPr>
                <w:rFonts w:hint="default" w:eastAsia="宋体"/>
                <w:b/>
                <w:sz w:val="20"/>
                <w:lang w:val="en-US" w:eastAsia="zh-CN"/>
              </w:rPr>
            </w:pPr>
            <w:r>
              <w:rPr>
                <w:rFonts w:hint="eastAsia"/>
                <w:b/>
                <w:sz w:val="20"/>
                <w:lang w:val="en-US" w:eastAsia="zh-CN"/>
              </w:rPr>
              <w:t>2022.10.18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both"/>
              <w:rPr>
                <w:rFonts w:hint="eastAsia" w:eastAsia="宋体"/>
                <w:b/>
                <w:sz w:val="20"/>
                <w:lang w:eastAsia="zh-CN"/>
              </w:rPr>
            </w:pPr>
            <w:r>
              <w:rPr>
                <w:rFonts w:hint="eastAsia"/>
                <w:b/>
                <w:sz w:val="20"/>
                <w:lang w:eastAsia="zh-CN"/>
              </w:rPr>
              <w:t>杨园</w:t>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both"/>
              <w:rPr>
                <w:rFonts w:hint="default" w:eastAsia="宋体"/>
                <w:b/>
                <w:sz w:val="20"/>
                <w:lang w:val="en-US" w:eastAsia="zh-CN"/>
              </w:rPr>
            </w:pPr>
            <w:r>
              <w:rPr>
                <w:rFonts w:hint="eastAsia"/>
                <w:b/>
                <w:sz w:val="20"/>
                <w:lang w:val="en-US" w:eastAsia="zh-CN"/>
              </w:rPr>
              <w:t>2022.10.18</w:t>
            </w:r>
          </w:p>
        </w:tc>
      </w:tr>
    </w:tbl>
    <w:p>
      <w:pPr>
        <w:snapToGrid w:val="0"/>
        <w:rPr>
          <w:rFonts w:ascii="宋体"/>
          <w:b/>
          <w:sz w:val="22"/>
          <w:szCs w:val="22"/>
        </w:rPr>
      </w:pPr>
    </w:p>
    <w:p>
      <w:pPr>
        <w:snapToGrid w:val="0"/>
        <w:rPr>
          <w:rFonts w:hint="eastAsia"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t>■</w:t>
      </w:r>
      <w:r>
        <w:rPr>
          <w:b/>
          <w:sz w:val="22"/>
          <w:szCs w:val="22"/>
        </w:rPr>
        <w:t xml:space="preserve">EMS  </w:t>
      </w:r>
    </w:p>
    <w:tbl>
      <w:tblPr>
        <w:tblStyle w:val="8"/>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rFonts w:ascii="Times New Roman" w:hAnsi="Times New Roman" w:eastAsia="宋体" w:cs="Times New Roman"/>
                <w:b/>
                <w:kern w:val="2"/>
                <w:sz w:val="22"/>
                <w:szCs w:val="22"/>
                <w:lang w:val="en-US" w:eastAsia="zh-CN" w:bidi="ar-SA"/>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both"/>
              <w:rPr>
                <w:rFonts w:hint="eastAsia" w:ascii="Times New Roman" w:hAnsi="Times New Roman" w:eastAsia="宋体" w:cs="Times New Roman"/>
                <w:b/>
                <w:kern w:val="2"/>
                <w:sz w:val="20"/>
                <w:lang w:val="en-US" w:eastAsia="zh-CN" w:bidi="ar-SA"/>
              </w:rPr>
            </w:pPr>
            <w:r>
              <w:rPr>
                <w:rFonts w:hint="eastAsia"/>
                <w:b/>
                <w:sz w:val="20"/>
                <w:lang w:eastAsia="zh-CN"/>
              </w:rPr>
              <w:t>沧县青山金属制品有限公司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rFonts w:ascii="Times New Roman" w:hAnsi="Times New Roman" w:eastAsia="宋体" w:cs="Times New Roman"/>
                <w:b/>
                <w:kern w:val="2"/>
                <w:sz w:val="22"/>
                <w:szCs w:val="22"/>
                <w:lang w:val="en-US" w:eastAsia="zh-CN" w:bidi="ar-SA"/>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rFonts w:hint="default" w:ascii="Times New Roman" w:hAnsi="Times New Roman" w:eastAsia="宋体" w:cs="Times New Roman"/>
                <w:b/>
                <w:kern w:val="2"/>
                <w:sz w:val="20"/>
                <w:lang w:val="en-US" w:eastAsia="zh-CN" w:bidi="ar-SA"/>
              </w:rPr>
            </w:pPr>
            <w:r>
              <w:rPr>
                <w:rFonts w:hint="eastAsia"/>
                <w:b/>
                <w:sz w:val="20"/>
                <w:lang w:val="en-US" w:eastAsia="zh-CN"/>
              </w:rPr>
              <w:t>17.05.03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rFonts w:ascii="Times New Roman" w:hAnsi="Times New Roman" w:eastAsia="宋体" w:cs="Times New Roman"/>
                <w:b/>
                <w:kern w:val="2"/>
                <w:sz w:val="22"/>
                <w:szCs w:val="22"/>
                <w:lang w:val="en-US" w:eastAsia="zh-CN" w:bidi="ar-SA"/>
              </w:rPr>
            </w:pPr>
            <w:r>
              <w:rPr>
                <w:rFonts w:hint="eastAsia"/>
                <w:b/>
                <w:sz w:val="22"/>
                <w:szCs w:val="22"/>
              </w:rPr>
              <w:t>教师姓名</w:t>
            </w:r>
          </w:p>
        </w:tc>
        <w:tc>
          <w:tcPr>
            <w:tcW w:w="2533" w:type="dxa"/>
            <w:gridSpan w:val="2"/>
            <w:vAlign w:val="center"/>
          </w:tcPr>
          <w:p>
            <w:pPr>
              <w:snapToGrid w:val="0"/>
              <w:spacing w:line="280" w:lineRule="exact"/>
              <w:jc w:val="both"/>
              <w:rPr>
                <w:rFonts w:hint="eastAsia" w:ascii="Times New Roman" w:hAnsi="Times New Roman" w:eastAsia="宋体" w:cs="Times New Roman"/>
                <w:b/>
                <w:kern w:val="2"/>
                <w:sz w:val="20"/>
                <w:lang w:val="en-US" w:eastAsia="zh-CN" w:bidi="ar-SA"/>
              </w:rPr>
            </w:pPr>
            <w:r>
              <w:rPr>
                <w:rFonts w:hint="eastAsia"/>
                <w:b/>
                <w:sz w:val="20"/>
                <w:lang w:eastAsia="zh-CN"/>
              </w:rPr>
              <w:t>杨园</w:t>
            </w:r>
          </w:p>
        </w:tc>
        <w:tc>
          <w:tcPr>
            <w:tcW w:w="1289" w:type="dxa"/>
            <w:vAlign w:val="center"/>
          </w:tcPr>
          <w:p>
            <w:pPr>
              <w:snapToGrid w:val="0"/>
              <w:spacing w:line="280" w:lineRule="exact"/>
              <w:jc w:val="center"/>
              <w:rPr>
                <w:rFonts w:ascii="Times New Roman" w:hAnsi="Times New Roman" w:eastAsia="宋体" w:cs="Times New Roman"/>
                <w:b/>
                <w:kern w:val="2"/>
                <w:sz w:val="22"/>
                <w:szCs w:val="22"/>
                <w:lang w:val="en-US" w:eastAsia="zh-CN" w:bidi="ar-SA"/>
              </w:rPr>
            </w:pPr>
            <w:r>
              <w:rPr>
                <w:rFonts w:hint="eastAsia"/>
                <w:b/>
                <w:sz w:val="22"/>
                <w:szCs w:val="22"/>
              </w:rPr>
              <w:t>专业</w:t>
            </w:r>
          </w:p>
        </w:tc>
        <w:tc>
          <w:tcPr>
            <w:tcW w:w="1505" w:type="dxa"/>
            <w:vAlign w:val="center"/>
          </w:tcPr>
          <w:p>
            <w:pPr>
              <w:snapToGrid w:val="0"/>
              <w:spacing w:line="280" w:lineRule="exact"/>
              <w:jc w:val="both"/>
              <w:rPr>
                <w:rFonts w:ascii="Times New Roman" w:hAnsi="Times New Roman" w:eastAsia="宋体" w:cs="Times New Roman"/>
                <w:b/>
                <w:kern w:val="2"/>
                <w:sz w:val="20"/>
                <w:lang w:val="en-US" w:eastAsia="zh-CN" w:bidi="ar-SA"/>
              </w:rPr>
            </w:pPr>
            <w:r>
              <w:rPr>
                <w:rFonts w:hint="eastAsia"/>
                <w:b/>
                <w:sz w:val="20"/>
                <w:lang w:val="en-US" w:eastAsia="zh-CN"/>
              </w:rPr>
              <w:t>17.05.03</w:t>
            </w:r>
          </w:p>
        </w:tc>
        <w:tc>
          <w:tcPr>
            <w:tcW w:w="1719" w:type="dxa"/>
            <w:gridSpan w:val="2"/>
            <w:vAlign w:val="center"/>
          </w:tcPr>
          <w:p>
            <w:pPr>
              <w:snapToGrid w:val="0"/>
              <w:spacing w:line="280" w:lineRule="exact"/>
              <w:jc w:val="center"/>
              <w:rPr>
                <w:rFonts w:ascii="Times New Roman" w:hAnsi="Times New Roman" w:eastAsia="宋体" w:cs="Times New Roman"/>
                <w:b/>
                <w:kern w:val="2"/>
                <w:sz w:val="22"/>
                <w:szCs w:val="22"/>
                <w:lang w:val="en-US" w:eastAsia="zh-CN" w:bidi="ar-SA"/>
              </w:rPr>
            </w:pPr>
            <w:r>
              <w:rPr>
                <w:rFonts w:hint="eastAsia"/>
                <w:b/>
                <w:sz w:val="22"/>
                <w:szCs w:val="22"/>
              </w:rPr>
              <w:t>培训地点</w:t>
            </w:r>
          </w:p>
        </w:tc>
        <w:tc>
          <w:tcPr>
            <w:tcW w:w="1378" w:type="dxa"/>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eastAsia="zh-CN"/>
              </w:rPr>
              <w:t>企业会议室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rFonts w:ascii="Times New Roman" w:hAnsi="Times New Roman" w:eastAsia="宋体" w:cs="Times New Roman"/>
                <w:b/>
                <w:kern w:val="2"/>
                <w:sz w:val="20"/>
                <w:lang w:val="en-US" w:eastAsia="zh-CN" w:bidi="ar-SA"/>
              </w:rPr>
            </w:pPr>
            <w:r>
              <w:rPr>
                <w:rFonts w:hint="eastAsia"/>
                <w:b/>
                <w:sz w:val="20"/>
              </w:rPr>
              <w:t>受培训人员</w:t>
            </w:r>
          </w:p>
        </w:tc>
        <w:tc>
          <w:tcPr>
            <w:tcW w:w="1340" w:type="dxa"/>
            <w:vAlign w:val="center"/>
          </w:tcPr>
          <w:p>
            <w:pPr>
              <w:snapToGrid w:val="0"/>
              <w:jc w:val="center"/>
              <w:rPr>
                <w:rFonts w:ascii="Times New Roman" w:hAnsi="Times New Roman" w:eastAsia="宋体" w:cs="Times New Roman"/>
                <w:b/>
                <w:kern w:val="2"/>
                <w:sz w:val="20"/>
                <w:lang w:val="en-US" w:eastAsia="zh-CN" w:bidi="ar-SA"/>
              </w:rPr>
            </w:pPr>
            <w:r>
              <w:rPr>
                <w:rFonts w:hint="eastAsia"/>
                <w:b/>
                <w:sz w:val="20"/>
              </w:rPr>
              <w:t>姓名</w:t>
            </w:r>
          </w:p>
        </w:tc>
        <w:tc>
          <w:tcPr>
            <w:tcW w:w="1119" w:type="dxa"/>
            <w:vAlign w:val="center"/>
          </w:tcPr>
          <w:p>
            <w:pPr>
              <w:snapToGrid w:val="0"/>
              <w:spacing w:line="360" w:lineRule="exact"/>
              <w:jc w:val="both"/>
              <w:rPr>
                <w:rFonts w:hint="eastAsia" w:ascii="Times New Roman" w:hAnsi="Times New Roman" w:eastAsia="宋体" w:cs="Times New Roman"/>
                <w:b/>
                <w:kern w:val="2"/>
                <w:sz w:val="20"/>
                <w:lang w:val="en-US" w:eastAsia="zh-CN" w:bidi="ar-SA"/>
              </w:rPr>
            </w:pPr>
            <w:r>
              <w:rPr>
                <w:rFonts w:hint="eastAsia"/>
                <w:b/>
                <w:sz w:val="20"/>
                <w:lang w:eastAsia="zh-CN"/>
              </w:rPr>
              <w:t>周文廷</w:t>
            </w:r>
          </w:p>
        </w:tc>
        <w:tc>
          <w:tcPr>
            <w:tcW w:w="1414" w:type="dxa"/>
            <w:vAlign w:val="center"/>
          </w:tcPr>
          <w:p>
            <w:pPr>
              <w:snapToGrid w:val="0"/>
              <w:spacing w:line="360" w:lineRule="exact"/>
              <w:jc w:val="center"/>
              <w:rPr>
                <w:rFonts w:ascii="Times New Roman" w:hAnsi="Times New Roman" w:eastAsia="宋体" w:cs="Times New Roman"/>
                <w:b/>
                <w:kern w:val="2"/>
                <w:sz w:val="20"/>
                <w:lang w:val="en-US" w:eastAsia="zh-CN" w:bidi="ar-SA"/>
              </w:rPr>
            </w:pPr>
          </w:p>
        </w:tc>
        <w:tc>
          <w:tcPr>
            <w:tcW w:w="1289" w:type="dxa"/>
            <w:vAlign w:val="center"/>
          </w:tcPr>
          <w:p>
            <w:pPr>
              <w:snapToGrid w:val="0"/>
              <w:spacing w:line="360" w:lineRule="exact"/>
              <w:jc w:val="center"/>
              <w:rPr>
                <w:rFonts w:ascii="Times New Roman" w:hAnsi="Times New Roman" w:eastAsia="宋体" w:cs="Times New Roman"/>
                <w:b/>
                <w:kern w:val="2"/>
                <w:sz w:val="20"/>
                <w:lang w:val="en-US" w:eastAsia="zh-CN" w:bidi="ar-SA"/>
              </w:rPr>
            </w:pPr>
          </w:p>
        </w:tc>
        <w:tc>
          <w:tcPr>
            <w:tcW w:w="1505" w:type="dxa"/>
            <w:vAlign w:val="center"/>
          </w:tcPr>
          <w:p>
            <w:pPr>
              <w:snapToGrid w:val="0"/>
              <w:spacing w:line="360" w:lineRule="exact"/>
              <w:jc w:val="center"/>
              <w:rPr>
                <w:rFonts w:ascii="Times New Roman" w:hAnsi="Times New Roman" w:eastAsia="宋体" w:cs="Times New Roman"/>
                <w:b/>
                <w:kern w:val="2"/>
                <w:sz w:val="20"/>
                <w:lang w:val="en-US" w:eastAsia="zh-CN" w:bidi="ar-SA"/>
              </w:rPr>
            </w:pPr>
          </w:p>
        </w:tc>
        <w:tc>
          <w:tcPr>
            <w:tcW w:w="1719" w:type="dxa"/>
            <w:gridSpan w:val="2"/>
            <w:vAlign w:val="center"/>
          </w:tcPr>
          <w:p>
            <w:pPr>
              <w:snapToGrid w:val="0"/>
              <w:spacing w:line="360" w:lineRule="exact"/>
              <w:jc w:val="center"/>
              <w:rPr>
                <w:rFonts w:ascii="Times New Roman" w:hAnsi="Times New Roman" w:eastAsia="宋体" w:cs="Times New Roman"/>
                <w:b/>
                <w:kern w:val="2"/>
                <w:sz w:val="20"/>
                <w:lang w:val="en-US" w:eastAsia="zh-CN" w:bidi="ar-SA"/>
              </w:rPr>
            </w:pPr>
          </w:p>
        </w:tc>
        <w:tc>
          <w:tcPr>
            <w:tcW w:w="1378" w:type="dxa"/>
            <w:vAlign w:val="center"/>
          </w:tcPr>
          <w:p>
            <w:pPr>
              <w:snapToGrid w:val="0"/>
              <w:spacing w:line="36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both"/>
              <w:rPr>
                <w:rFonts w:hint="eastAsia"/>
                <w:b/>
                <w:sz w:val="20"/>
                <w:lang w:eastAsia="zh-CN"/>
              </w:rPr>
            </w:pPr>
            <w:r>
              <w:rPr>
                <w:rFonts w:hint="eastAsia"/>
                <w:b/>
                <w:sz w:val="20"/>
                <w:lang w:eastAsia="zh-CN"/>
              </w:rPr>
              <w:t>生产工艺/</w:t>
            </w:r>
          </w:p>
          <w:p>
            <w:pPr>
              <w:snapToGrid w:val="0"/>
              <w:spacing w:line="280" w:lineRule="exact"/>
              <w:jc w:val="both"/>
              <w:rPr>
                <w:rFonts w:hint="eastAsia" w:ascii="Times New Roman" w:hAnsi="Times New Roman" w:eastAsia="宋体" w:cs="Times New Roman"/>
                <w:b/>
                <w:kern w:val="2"/>
                <w:sz w:val="20"/>
                <w:lang w:val="en-US" w:eastAsia="zh-CN" w:bidi="ar-SA"/>
              </w:rPr>
            </w:pPr>
            <w:r>
              <w:rPr>
                <w:rFonts w:hint="eastAsia"/>
                <w:b/>
                <w:sz w:val="20"/>
                <w:lang w:eastAsia="zh-CN"/>
              </w:rPr>
              <w:t>服务过程</w:t>
            </w:r>
          </w:p>
        </w:tc>
        <w:tc>
          <w:tcPr>
            <w:tcW w:w="8424" w:type="dxa"/>
            <w:gridSpan w:val="7"/>
            <w:vAlign w:val="center"/>
          </w:tcPr>
          <w:p>
            <w:pPr>
              <w:snapToGrid w:val="0"/>
              <w:spacing w:line="280" w:lineRule="exact"/>
              <w:jc w:val="both"/>
              <w:rPr>
                <w:rFonts w:hint="eastAsia"/>
                <w:b/>
                <w:sz w:val="20"/>
                <w:lang w:val="en-US" w:eastAsia="zh-CN"/>
              </w:rPr>
            </w:pPr>
            <w:r>
              <w:rPr>
                <w:rFonts w:hint="eastAsia"/>
                <w:b/>
                <w:sz w:val="20"/>
                <w:lang w:val="en-US" w:eastAsia="zh-CN"/>
              </w:rPr>
              <w:t>压铸铝铸件加工工艺流程：</w:t>
            </w:r>
          </w:p>
          <w:p>
            <w:pPr>
              <w:snapToGrid w:val="0"/>
              <w:spacing w:line="280" w:lineRule="exact"/>
              <w:jc w:val="both"/>
              <w:rPr>
                <w:rFonts w:hint="eastAsia"/>
                <w:b/>
                <w:sz w:val="20"/>
                <w:lang w:val="en-US" w:eastAsia="zh-CN"/>
              </w:rPr>
            </w:pPr>
            <w:r>
              <w:rPr>
                <w:rFonts w:hint="eastAsia"/>
                <w:b/>
                <w:sz w:val="20"/>
                <w:lang w:val="en-US" w:eastAsia="zh-CN"/>
              </w:rPr>
              <w:t>原料→熔化→压铸→喷砂→机加工→产品</w:t>
            </w:r>
          </w:p>
          <w:p>
            <w:pPr>
              <w:snapToGrid w:val="0"/>
              <w:spacing w:line="280" w:lineRule="exact"/>
              <w:jc w:val="both"/>
              <w:rPr>
                <w:rFonts w:hint="default"/>
                <w:b/>
                <w:sz w:val="20"/>
                <w:lang w:val="en-US" w:eastAsia="zh-CN"/>
              </w:rPr>
            </w:pPr>
            <w:r>
              <w:rPr>
                <w:rFonts w:hint="eastAsia"/>
                <w:b/>
                <w:sz w:val="20"/>
                <w:lang w:val="en-US" w:eastAsia="zh-CN"/>
              </w:rPr>
              <w:t>浇铸铝铸件加工工艺流程：</w:t>
            </w:r>
          </w:p>
          <w:p>
            <w:pPr>
              <w:snapToGrid w:val="0"/>
              <w:spacing w:line="280" w:lineRule="exact"/>
              <w:jc w:val="both"/>
              <w:rPr>
                <w:rFonts w:hint="eastAsia"/>
                <w:b/>
                <w:sz w:val="20"/>
                <w:lang w:val="en-US" w:eastAsia="zh-CN"/>
              </w:rPr>
            </w:pPr>
            <w:r>
              <w:rPr>
                <w:rFonts w:hint="eastAsia"/>
                <w:b/>
                <w:sz w:val="20"/>
                <w:lang w:val="en-US" w:eastAsia="zh-CN"/>
              </w:rPr>
              <w:t>原料→熔化→造型→浇注→退火→清理→喷砂→机加工→产品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w:t>
            </w:r>
            <w:r>
              <w:rPr>
                <w:rFonts w:hint="eastAsia"/>
                <w:b/>
                <w:sz w:val="20"/>
                <w:lang w:val="en-US" w:eastAsia="zh-CN"/>
              </w:rPr>
              <w:t>因素</w:t>
            </w:r>
            <w:r>
              <w:rPr>
                <w:rFonts w:hint="eastAsia"/>
                <w:b/>
                <w:sz w:val="20"/>
              </w:rPr>
              <w:t>及控制措施</w:t>
            </w:r>
          </w:p>
        </w:tc>
        <w:tc>
          <w:tcPr>
            <w:tcW w:w="8424" w:type="dxa"/>
            <w:gridSpan w:val="7"/>
            <w:vAlign w:val="center"/>
          </w:tcPr>
          <w:p>
            <w:pPr>
              <w:snapToGrid w:val="0"/>
              <w:spacing w:line="280" w:lineRule="exact"/>
              <w:jc w:val="both"/>
              <w:rPr>
                <w:rFonts w:hint="eastAsia"/>
                <w:b/>
                <w:sz w:val="20"/>
                <w:lang w:val="en-US" w:eastAsia="zh-CN"/>
              </w:rPr>
            </w:pPr>
            <w:r>
              <w:rPr>
                <w:rFonts w:hint="eastAsia"/>
                <w:b/>
                <w:sz w:val="20"/>
                <w:lang w:val="en-US" w:eastAsia="zh-CN"/>
              </w:rPr>
              <w:t>固废排放，控制措施：管理方案、运行控制；</w:t>
            </w:r>
          </w:p>
          <w:p>
            <w:pPr>
              <w:snapToGrid w:val="0"/>
              <w:spacing w:line="280" w:lineRule="exact"/>
              <w:jc w:val="both"/>
              <w:rPr>
                <w:rFonts w:hint="eastAsia"/>
                <w:b/>
                <w:sz w:val="20"/>
                <w:lang w:val="en-US" w:eastAsia="zh-CN"/>
              </w:rPr>
            </w:pPr>
            <w:r>
              <w:rPr>
                <w:rFonts w:hint="eastAsia"/>
                <w:b/>
                <w:sz w:val="20"/>
                <w:lang w:val="en-US" w:eastAsia="zh-CN"/>
              </w:rPr>
              <w:t>噪声，控制措施：防护用品，管理方案，运行控制，环境检测</w:t>
            </w:r>
          </w:p>
          <w:p>
            <w:pPr>
              <w:snapToGrid w:val="0"/>
              <w:spacing w:line="280" w:lineRule="exact"/>
              <w:jc w:val="both"/>
              <w:rPr>
                <w:rFonts w:hint="eastAsia"/>
                <w:b/>
                <w:sz w:val="20"/>
                <w:lang w:val="en-US" w:eastAsia="zh-CN"/>
              </w:rPr>
            </w:pPr>
            <w:r>
              <w:rPr>
                <w:rFonts w:hint="eastAsia"/>
                <w:b/>
                <w:sz w:val="20"/>
                <w:lang w:val="en-US" w:eastAsia="zh-CN"/>
              </w:rPr>
              <w:t>废气，控制措施：防护用品，管理方案，运行控制，环境检测</w:t>
            </w:r>
          </w:p>
          <w:p>
            <w:pPr>
              <w:snapToGrid w:val="0"/>
              <w:spacing w:line="280" w:lineRule="exact"/>
              <w:jc w:val="both"/>
              <w:rPr>
                <w:rFonts w:hint="default"/>
                <w:b/>
                <w:sz w:val="20"/>
                <w:lang w:val="en-US" w:eastAsia="zh-CN"/>
              </w:rPr>
            </w:pPr>
            <w:r>
              <w:rPr>
                <w:rFonts w:hint="eastAsia"/>
                <w:b/>
                <w:sz w:val="20"/>
                <w:lang w:val="en-US" w:eastAsia="zh-CN"/>
              </w:rPr>
              <w:t>火灾，控制措施：防护用品，管理方案，运行控制，应急预案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环境</w:t>
            </w:r>
            <w:r>
              <w:rPr>
                <w:rFonts w:hint="eastAsia"/>
                <w:b/>
                <w:sz w:val="20"/>
              </w:rPr>
              <w:t>法律法规的要求及产品标准</w:t>
            </w:r>
          </w:p>
        </w:tc>
        <w:tc>
          <w:tcPr>
            <w:tcW w:w="8424" w:type="dxa"/>
            <w:gridSpan w:val="7"/>
            <w:vAlign w:val="center"/>
          </w:tcPr>
          <w:p>
            <w:pPr>
              <w:snapToGrid w:val="0"/>
              <w:spacing w:line="280" w:lineRule="exact"/>
              <w:jc w:val="both"/>
              <w:rPr>
                <w:rFonts w:hint="eastAsia"/>
                <w:b/>
                <w:sz w:val="20"/>
                <w:lang w:val="en-US" w:eastAsia="zh-CN"/>
              </w:rPr>
            </w:pPr>
            <w:r>
              <w:rPr>
                <w:rFonts w:hint="eastAsia"/>
                <w:b/>
                <w:sz w:val="20"/>
                <w:lang w:val="en-US" w:eastAsia="zh-CN"/>
              </w:rPr>
              <w:t>中华人民共和国环境保护法、中华人民共和国环境保护税法、中华人民共和国环境影响评价法</w:t>
            </w:r>
          </w:p>
          <w:p>
            <w:pPr>
              <w:snapToGrid w:val="0"/>
              <w:spacing w:line="280" w:lineRule="exact"/>
              <w:jc w:val="both"/>
              <w:rPr>
                <w:rFonts w:hint="eastAsia"/>
                <w:b/>
                <w:sz w:val="20"/>
                <w:lang w:val="en-US" w:eastAsia="zh-CN"/>
              </w:rPr>
            </w:pPr>
            <w:r>
              <w:rPr>
                <w:rFonts w:hint="eastAsia"/>
                <w:b/>
                <w:sz w:val="20"/>
                <w:lang w:val="en-US" w:eastAsia="zh-CN"/>
              </w:rPr>
              <w:t>中华人民共和国噪声污染防治法、中华人民共和国固体废物污染环境防治法、中华人民共和国大气污染防治法、中华人民共和国水法、中华人民共和国水污染防治法、中华人民共和国可再生能源法、中华人民共和国节约能源法、中华人民共和国循环经济促进法、中华人民共和国消防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lang w:val="en-US" w:eastAsia="zh-CN"/>
              </w:rPr>
              <w:t>环境监测报告（适用时）</w:t>
            </w:r>
          </w:p>
        </w:tc>
        <w:tc>
          <w:tcPr>
            <w:tcW w:w="8424" w:type="dxa"/>
            <w:gridSpan w:val="7"/>
            <w:vAlign w:val="center"/>
          </w:tcPr>
          <w:p>
            <w:pPr>
              <w:snapToGrid w:val="0"/>
              <w:spacing w:line="280" w:lineRule="exact"/>
              <w:jc w:val="left"/>
              <w:rPr>
                <w:rFonts w:hint="eastAsia" w:eastAsia="宋体"/>
                <w:b/>
                <w:sz w:val="20"/>
                <w:lang w:eastAsia="zh-CN"/>
              </w:rPr>
            </w:pPr>
            <w:r>
              <w:rPr>
                <w:rFonts w:hint="eastAsia"/>
                <w:b/>
                <w:sz w:val="20"/>
                <w:lang w:eastAsia="zh-CN"/>
              </w:rPr>
              <w:t>废气、噪声检测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both"/>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both"/>
              <w:rPr>
                <w:rFonts w:hint="eastAsia" w:eastAsia="宋体"/>
                <w:b/>
                <w:sz w:val="20"/>
                <w:lang w:eastAsia="zh-CN"/>
              </w:rPr>
            </w:pPr>
            <w:r>
              <w:rPr>
                <w:rFonts w:hint="eastAsia"/>
                <w:b/>
                <w:sz w:val="20"/>
                <w:lang w:eastAsia="zh-CN"/>
              </w:rPr>
              <w:t>杨园</w:t>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both"/>
              <w:rPr>
                <w:rFonts w:hint="default" w:eastAsia="宋体"/>
                <w:b/>
                <w:sz w:val="20"/>
                <w:lang w:val="en-US" w:eastAsia="zh-CN"/>
              </w:rPr>
            </w:pPr>
            <w:r>
              <w:rPr>
                <w:rFonts w:hint="eastAsia"/>
                <w:b/>
                <w:sz w:val="20"/>
                <w:lang w:val="en-US" w:eastAsia="zh-CN"/>
              </w:rPr>
              <w:t>2022.10.21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both"/>
              <w:rPr>
                <w:rFonts w:hint="eastAsia" w:eastAsia="宋体"/>
                <w:b/>
                <w:sz w:val="20"/>
                <w:lang w:eastAsia="zh-CN"/>
              </w:rPr>
            </w:pPr>
            <w:r>
              <w:rPr>
                <w:rFonts w:hint="eastAsia"/>
                <w:b/>
                <w:sz w:val="20"/>
                <w:lang w:eastAsia="zh-CN"/>
              </w:rPr>
              <w:t>杨园</w:t>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both"/>
              <w:rPr>
                <w:rFonts w:hint="default" w:eastAsia="宋体"/>
                <w:b/>
                <w:sz w:val="20"/>
                <w:lang w:val="en-US" w:eastAsia="zh-CN"/>
              </w:rPr>
            </w:pPr>
            <w:r>
              <w:rPr>
                <w:rFonts w:hint="eastAsia"/>
                <w:b/>
                <w:sz w:val="20"/>
                <w:lang w:val="en-US" w:eastAsia="zh-CN"/>
              </w:rPr>
              <w:t>2022.10.21</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t>■</w:t>
      </w:r>
      <w:r>
        <w:rPr>
          <w:b/>
          <w:sz w:val="22"/>
          <w:szCs w:val="22"/>
        </w:rPr>
        <w:t>OHSMS</w:t>
      </w:r>
    </w:p>
    <w:tbl>
      <w:tblPr>
        <w:tblStyle w:val="8"/>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rFonts w:ascii="Times New Roman" w:hAnsi="Times New Roman" w:eastAsia="宋体" w:cs="Times New Roman"/>
                <w:b/>
                <w:kern w:val="2"/>
                <w:sz w:val="22"/>
                <w:szCs w:val="22"/>
                <w:lang w:val="en-US" w:eastAsia="zh-CN" w:bidi="ar-SA"/>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both"/>
              <w:rPr>
                <w:rFonts w:hint="eastAsia" w:ascii="Times New Roman" w:hAnsi="Times New Roman" w:eastAsia="宋体" w:cs="Times New Roman"/>
                <w:b/>
                <w:kern w:val="2"/>
                <w:sz w:val="20"/>
                <w:lang w:val="en-US" w:eastAsia="zh-CN" w:bidi="ar-SA"/>
              </w:rPr>
            </w:pPr>
            <w:r>
              <w:rPr>
                <w:rFonts w:hint="eastAsia"/>
                <w:b/>
                <w:sz w:val="20"/>
                <w:lang w:eastAsia="zh-CN"/>
              </w:rPr>
              <w:t>沧县青山金属制品有限公司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rFonts w:ascii="Times New Roman" w:hAnsi="Times New Roman" w:eastAsia="宋体" w:cs="Times New Roman"/>
                <w:b/>
                <w:kern w:val="2"/>
                <w:sz w:val="22"/>
                <w:szCs w:val="22"/>
                <w:lang w:val="en-US" w:eastAsia="zh-CN" w:bidi="ar-SA"/>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rFonts w:hint="default" w:ascii="Times New Roman" w:hAnsi="Times New Roman" w:eastAsia="宋体" w:cs="Times New Roman"/>
                <w:b/>
                <w:kern w:val="2"/>
                <w:sz w:val="20"/>
                <w:lang w:val="en-US" w:eastAsia="zh-CN" w:bidi="ar-SA"/>
              </w:rPr>
            </w:pPr>
            <w:r>
              <w:rPr>
                <w:rFonts w:hint="eastAsia"/>
                <w:b/>
                <w:sz w:val="20"/>
                <w:lang w:val="en-US" w:eastAsia="zh-CN"/>
              </w:rPr>
              <w:t>17.05.03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rFonts w:ascii="Times New Roman" w:hAnsi="Times New Roman" w:eastAsia="宋体" w:cs="Times New Roman"/>
                <w:b/>
                <w:kern w:val="2"/>
                <w:sz w:val="22"/>
                <w:szCs w:val="22"/>
                <w:lang w:val="en-US" w:eastAsia="zh-CN" w:bidi="ar-SA"/>
              </w:rPr>
            </w:pPr>
            <w:r>
              <w:rPr>
                <w:rFonts w:hint="eastAsia"/>
                <w:b/>
                <w:sz w:val="22"/>
                <w:szCs w:val="22"/>
              </w:rPr>
              <w:t>教师姓名</w:t>
            </w:r>
          </w:p>
        </w:tc>
        <w:tc>
          <w:tcPr>
            <w:tcW w:w="2533" w:type="dxa"/>
            <w:gridSpan w:val="2"/>
            <w:vAlign w:val="center"/>
          </w:tcPr>
          <w:p>
            <w:pPr>
              <w:snapToGrid w:val="0"/>
              <w:spacing w:line="280" w:lineRule="exact"/>
              <w:jc w:val="both"/>
              <w:rPr>
                <w:rFonts w:hint="eastAsia" w:ascii="Times New Roman" w:hAnsi="Times New Roman" w:eastAsia="宋体" w:cs="Times New Roman"/>
                <w:b/>
                <w:kern w:val="2"/>
                <w:sz w:val="20"/>
                <w:lang w:val="en-US" w:eastAsia="zh-CN" w:bidi="ar-SA"/>
              </w:rPr>
            </w:pPr>
            <w:r>
              <w:rPr>
                <w:rFonts w:hint="eastAsia"/>
                <w:b/>
                <w:sz w:val="20"/>
                <w:lang w:eastAsia="zh-CN"/>
              </w:rPr>
              <w:t>杨园</w:t>
            </w:r>
          </w:p>
        </w:tc>
        <w:tc>
          <w:tcPr>
            <w:tcW w:w="1289" w:type="dxa"/>
            <w:vAlign w:val="center"/>
          </w:tcPr>
          <w:p>
            <w:pPr>
              <w:snapToGrid w:val="0"/>
              <w:spacing w:line="280" w:lineRule="exact"/>
              <w:jc w:val="center"/>
              <w:rPr>
                <w:rFonts w:ascii="Times New Roman" w:hAnsi="Times New Roman" w:eastAsia="宋体" w:cs="Times New Roman"/>
                <w:b/>
                <w:kern w:val="2"/>
                <w:sz w:val="22"/>
                <w:szCs w:val="22"/>
                <w:lang w:val="en-US" w:eastAsia="zh-CN" w:bidi="ar-SA"/>
              </w:rPr>
            </w:pPr>
            <w:r>
              <w:rPr>
                <w:rFonts w:hint="eastAsia"/>
                <w:b/>
                <w:sz w:val="22"/>
                <w:szCs w:val="22"/>
              </w:rPr>
              <w:t>专业</w:t>
            </w:r>
          </w:p>
        </w:tc>
        <w:tc>
          <w:tcPr>
            <w:tcW w:w="1505" w:type="dxa"/>
            <w:vAlign w:val="center"/>
          </w:tcPr>
          <w:p>
            <w:pPr>
              <w:snapToGrid w:val="0"/>
              <w:spacing w:line="280" w:lineRule="exact"/>
              <w:jc w:val="both"/>
              <w:rPr>
                <w:rFonts w:ascii="Times New Roman" w:hAnsi="Times New Roman" w:eastAsia="宋体" w:cs="Times New Roman"/>
                <w:b/>
                <w:kern w:val="2"/>
                <w:sz w:val="20"/>
                <w:lang w:val="en-US" w:eastAsia="zh-CN" w:bidi="ar-SA"/>
              </w:rPr>
            </w:pPr>
            <w:r>
              <w:rPr>
                <w:rFonts w:hint="eastAsia"/>
                <w:b/>
                <w:sz w:val="20"/>
                <w:lang w:val="en-US" w:eastAsia="zh-CN"/>
              </w:rPr>
              <w:t>17.05.03</w:t>
            </w:r>
          </w:p>
        </w:tc>
        <w:tc>
          <w:tcPr>
            <w:tcW w:w="1719" w:type="dxa"/>
            <w:gridSpan w:val="2"/>
            <w:vAlign w:val="center"/>
          </w:tcPr>
          <w:p>
            <w:pPr>
              <w:snapToGrid w:val="0"/>
              <w:spacing w:line="280" w:lineRule="exact"/>
              <w:jc w:val="center"/>
              <w:rPr>
                <w:rFonts w:ascii="Times New Roman" w:hAnsi="Times New Roman" w:eastAsia="宋体" w:cs="Times New Roman"/>
                <w:b/>
                <w:kern w:val="2"/>
                <w:sz w:val="22"/>
                <w:szCs w:val="22"/>
                <w:lang w:val="en-US" w:eastAsia="zh-CN" w:bidi="ar-SA"/>
              </w:rPr>
            </w:pPr>
            <w:r>
              <w:rPr>
                <w:rFonts w:hint="eastAsia"/>
                <w:b/>
                <w:sz w:val="22"/>
                <w:szCs w:val="22"/>
              </w:rPr>
              <w:t>培训地点</w:t>
            </w:r>
          </w:p>
        </w:tc>
        <w:tc>
          <w:tcPr>
            <w:tcW w:w="1378" w:type="dxa"/>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eastAsia="zh-CN"/>
              </w:rPr>
              <w:t>企业会议室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rFonts w:ascii="Times New Roman" w:hAnsi="Times New Roman" w:eastAsia="宋体" w:cs="Times New Roman"/>
                <w:b/>
                <w:kern w:val="2"/>
                <w:sz w:val="20"/>
                <w:lang w:val="en-US" w:eastAsia="zh-CN" w:bidi="ar-SA"/>
              </w:rPr>
            </w:pPr>
            <w:r>
              <w:rPr>
                <w:rFonts w:hint="eastAsia"/>
                <w:b/>
                <w:sz w:val="20"/>
              </w:rPr>
              <w:t>受培训人员</w:t>
            </w:r>
          </w:p>
        </w:tc>
        <w:tc>
          <w:tcPr>
            <w:tcW w:w="1340" w:type="dxa"/>
            <w:vAlign w:val="center"/>
          </w:tcPr>
          <w:p>
            <w:pPr>
              <w:snapToGrid w:val="0"/>
              <w:jc w:val="center"/>
              <w:rPr>
                <w:rFonts w:ascii="Times New Roman" w:hAnsi="Times New Roman" w:eastAsia="宋体" w:cs="Times New Roman"/>
                <w:b/>
                <w:kern w:val="2"/>
                <w:sz w:val="20"/>
                <w:lang w:val="en-US" w:eastAsia="zh-CN" w:bidi="ar-SA"/>
              </w:rPr>
            </w:pPr>
            <w:r>
              <w:rPr>
                <w:rFonts w:hint="eastAsia"/>
                <w:b/>
                <w:sz w:val="20"/>
              </w:rPr>
              <w:t>姓名</w:t>
            </w:r>
          </w:p>
        </w:tc>
        <w:tc>
          <w:tcPr>
            <w:tcW w:w="1119" w:type="dxa"/>
            <w:vAlign w:val="center"/>
          </w:tcPr>
          <w:p>
            <w:pPr>
              <w:snapToGrid w:val="0"/>
              <w:spacing w:line="360" w:lineRule="exact"/>
              <w:jc w:val="both"/>
              <w:rPr>
                <w:rFonts w:hint="eastAsia" w:ascii="Times New Roman" w:hAnsi="Times New Roman" w:eastAsia="宋体" w:cs="Times New Roman"/>
                <w:b/>
                <w:kern w:val="2"/>
                <w:sz w:val="20"/>
                <w:lang w:val="en-US" w:eastAsia="zh-CN" w:bidi="ar-SA"/>
              </w:rPr>
            </w:pPr>
            <w:r>
              <w:rPr>
                <w:rFonts w:hint="eastAsia"/>
                <w:b/>
                <w:sz w:val="20"/>
                <w:lang w:eastAsia="zh-CN"/>
              </w:rPr>
              <w:t>周文廷</w:t>
            </w:r>
          </w:p>
        </w:tc>
        <w:tc>
          <w:tcPr>
            <w:tcW w:w="1414" w:type="dxa"/>
            <w:vAlign w:val="center"/>
          </w:tcPr>
          <w:p>
            <w:pPr>
              <w:snapToGrid w:val="0"/>
              <w:spacing w:line="360" w:lineRule="exact"/>
              <w:jc w:val="center"/>
              <w:rPr>
                <w:rFonts w:ascii="Times New Roman" w:hAnsi="Times New Roman" w:eastAsia="宋体" w:cs="Times New Roman"/>
                <w:b/>
                <w:kern w:val="2"/>
                <w:sz w:val="20"/>
                <w:lang w:val="en-US" w:eastAsia="zh-CN" w:bidi="ar-SA"/>
              </w:rPr>
            </w:pPr>
          </w:p>
        </w:tc>
        <w:tc>
          <w:tcPr>
            <w:tcW w:w="1289" w:type="dxa"/>
            <w:vAlign w:val="center"/>
          </w:tcPr>
          <w:p>
            <w:pPr>
              <w:snapToGrid w:val="0"/>
              <w:spacing w:line="360" w:lineRule="exact"/>
              <w:jc w:val="center"/>
              <w:rPr>
                <w:rFonts w:ascii="Times New Roman" w:hAnsi="Times New Roman" w:eastAsia="宋体" w:cs="Times New Roman"/>
                <w:b/>
                <w:kern w:val="2"/>
                <w:sz w:val="20"/>
                <w:lang w:val="en-US" w:eastAsia="zh-CN" w:bidi="ar-SA"/>
              </w:rPr>
            </w:pPr>
          </w:p>
        </w:tc>
        <w:tc>
          <w:tcPr>
            <w:tcW w:w="1505" w:type="dxa"/>
            <w:vAlign w:val="center"/>
          </w:tcPr>
          <w:p>
            <w:pPr>
              <w:snapToGrid w:val="0"/>
              <w:spacing w:line="360" w:lineRule="exact"/>
              <w:jc w:val="center"/>
              <w:rPr>
                <w:rFonts w:ascii="Times New Roman" w:hAnsi="Times New Roman" w:eastAsia="宋体" w:cs="Times New Roman"/>
                <w:b/>
                <w:kern w:val="2"/>
                <w:sz w:val="20"/>
                <w:lang w:val="en-US" w:eastAsia="zh-CN" w:bidi="ar-SA"/>
              </w:rPr>
            </w:pPr>
          </w:p>
        </w:tc>
        <w:tc>
          <w:tcPr>
            <w:tcW w:w="1719" w:type="dxa"/>
            <w:gridSpan w:val="2"/>
            <w:vAlign w:val="center"/>
          </w:tcPr>
          <w:p>
            <w:pPr>
              <w:snapToGrid w:val="0"/>
              <w:spacing w:line="360" w:lineRule="exact"/>
              <w:jc w:val="center"/>
              <w:rPr>
                <w:rFonts w:ascii="Times New Roman" w:hAnsi="Times New Roman" w:eastAsia="宋体" w:cs="Times New Roman"/>
                <w:b/>
                <w:kern w:val="2"/>
                <w:sz w:val="20"/>
                <w:lang w:val="en-US" w:eastAsia="zh-CN" w:bidi="ar-SA"/>
              </w:rPr>
            </w:pPr>
          </w:p>
        </w:tc>
        <w:tc>
          <w:tcPr>
            <w:tcW w:w="1378" w:type="dxa"/>
            <w:vAlign w:val="center"/>
          </w:tcPr>
          <w:p>
            <w:pPr>
              <w:snapToGrid w:val="0"/>
              <w:spacing w:line="36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both"/>
              <w:rPr>
                <w:rFonts w:hint="eastAsia"/>
                <w:b/>
                <w:sz w:val="20"/>
                <w:lang w:eastAsia="zh-CN"/>
              </w:rPr>
            </w:pPr>
            <w:r>
              <w:rPr>
                <w:rFonts w:hint="eastAsia"/>
                <w:b/>
                <w:sz w:val="20"/>
                <w:lang w:eastAsia="zh-CN"/>
              </w:rPr>
              <w:t>生产工艺/</w:t>
            </w:r>
          </w:p>
          <w:p>
            <w:pPr>
              <w:snapToGrid w:val="0"/>
              <w:spacing w:line="280" w:lineRule="exact"/>
              <w:jc w:val="both"/>
              <w:rPr>
                <w:rFonts w:hint="eastAsia" w:ascii="Times New Roman" w:hAnsi="Times New Roman" w:eastAsia="宋体" w:cs="Times New Roman"/>
                <w:b/>
                <w:kern w:val="2"/>
                <w:sz w:val="20"/>
                <w:lang w:val="en-US" w:eastAsia="zh-CN" w:bidi="ar-SA"/>
              </w:rPr>
            </w:pPr>
            <w:r>
              <w:rPr>
                <w:rFonts w:hint="eastAsia"/>
                <w:b/>
                <w:sz w:val="20"/>
                <w:lang w:eastAsia="zh-CN"/>
              </w:rPr>
              <w:t>服务过程</w:t>
            </w:r>
          </w:p>
        </w:tc>
        <w:tc>
          <w:tcPr>
            <w:tcW w:w="8424" w:type="dxa"/>
            <w:gridSpan w:val="7"/>
            <w:vAlign w:val="center"/>
          </w:tcPr>
          <w:p>
            <w:pPr>
              <w:snapToGrid w:val="0"/>
              <w:spacing w:line="280" w:lineRule="exact"/>
              <w:jc w:val="both"/>
              <w:rPr>
                <w:rFonts w:hint="eastAsia"/>
                <w:b/>
                <w:sz w:val="20"/>
                <w:lang w:val="en-US" w:eastAsia="zh-CN"/>
              </w:rPr>
            </w:pPr>
            <w:r>
              <w:rPr>
                <w:rFonts w:hint="eastAsia"/>
                <w:b/>
                <w:sz w:val="20"/>
                <w:lang w:val="en-US" w:eastAsia="zh-CN"/>
              </w:rPr>
              <w:t>压铸铝铸件加工工艺流程：</w:t>
            </w:r>
          </w:p>
          <w:p>
            <w:pPr>
              <w:snapToGrid w:val="0"/>
              <w:spacing w:line="280" w:lineRule="exact"/>
              <w:jc w:val="both"/>
              <w:rPr>
                <w:rFonts w:hint="eastAsia"/>
                <w:b/>
                <w:sz w:val="20"/>
                <w:lang w:val="en-US" w:eastAsia="zh-CN"/>
              </w:rPr>
            </w:pPr>
            <w:r>
              <w:rPr>
                <w:rFonts w:hint="eastAsia"/>
                <w:b/>
                <w:sz w:val="20"/>
                <w:lang w:val="en-US" w:eastAsia="zh-CN"/>
              </w:rPr>
              <w:t>原料→熔化→压铸→喷砂→机加工→产品</w:t>
            </w:r>
          </w:p>
          <w:p>
            <w:pPr>
              <w:snapToGrid w:val="0"/>
              <w:spacing w:line="280" w:lineRule="exact"/>
              <w:jc w:val="both"/>
              <w:rPr>
                <w:rFonts w:hint="default"/>
                <w:b/>
                <w:sz w:val="20"/>
                <w:lang w:val="en-US" w:eastAsia="zh-CN"/>
              </w:rPr>
            </w:pPr>
            <w:r>
              <w:rPr>
                <w:rFonts w:hint="eastAsia"/>
                <w:b/>
                <w:sz w:val="20"/>
                <w:lang w:val="en-US" w:eastAsia="zh-CN"/>
              </w:rPr>
              <w:t>浇铸铝铸件加工工艺流程：</w:t>
            </w:r>
          </w:p>
          <w:p>
            <w:pPr>
              <w:snapToGrid w:val="0"/>
              <w:spacing w:line="280" w:lineRule="exact"/>
              <w:jc w:val="both"/>
              <w:rPr>
                <w:rFonts w:hint="eastAsia" w:ascii="Times New Roman" w:hAnsi="Times New Roman" w:eastAsia="宋体" w:cs="Times New Roman"/>
                <w:b/>
                <w:kern w:val="2"/>
                <w:sz w:val="20"/>
                <w:lang w:val="en-US" w:eastAsia="zh-CN" w:bidi="ar-SA"/>
              </w:rPr>
            </w:pPr>
            <w:r>
              <w:rPr>
                <w:rFonts w:hint="eastAsia"/>
                <w:b/>
                <w:sz w:val="20"/>
                <w:lang w:val="en-US" w:eastAsia="zh-CN"/>
              </w:rPr>
              <w:t>原料→熔化→造型→浇注→退火→清理→喷砂→机加工→产品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w:t>
            </w:r>
            <w:r>
              <w:rPr>
                <w:rFonts w:hint="eastAsia"/>
                <w:b/>
                <w:sz w:val="20"/>
                <w:lang w:val="en-US" w:eastAsia="zh-CN"/>
              </w:rPr>
              <w:t>和</w:t>
            </w:r>
            <w:r>
              <w:rPr>
                <w:rFonts w:hint="eastAsia"/>
                <w:b/>
                <w:sz w:val="20"/>
              </w:rPr>
              <w:t>危险源及控制措施</w:t>
            </w:r>
          </w:p>
        </w:tc>
        <w:tc>
          <w:tcPr>
            <w:tcW w:w="8424" w:type="dxa"/>
            <w:gridSpan w:val="7"/>
            <w:vAlign w:val="center"/>
          </w:tcPr>
          <w:p>
            <w:pPr>
              <w:snapToGrid w:val="0"/>
              <w:spacing w:line="280" w:lineRule="exact"/>
              <w:jc w:val="both"/>
              <w:rPr>
                <w:rFonts w:hint="eastAsia"/>
                <w:b/>
                <w:sz w:val="20"/>
                <w:lang w:val="en-US" w:eastAsia="zh-CN"/>
              </w:rPr>
            </w:pPr>
            <w:r>
              <w:rPr>
                <w:rFonts w:hint="eastAsia"/>
                <w:b/>
                <w:sz w:val="20"/>
                <w:lang w:val="en-US" w:eastAsia="zh-CN"/>
              </w:rPr>
              <w:t>火灾：控制措施：防护用品，管理方案，运行控制，应急预案</w:t>
            </w:r>
          </w:p>
          <w:p>
            <w:pPr>
              <w:snapToGrid w:val="0"/>
              <w:spacing w:line="280" w:lineRule="exact"/>
              <w:jc w:val="both"/>
              <w:rPr>
                <w:rFonts w:hint="eastAsia"/>
                <w:b/>
                <w:sz w:val="20"/>
                <w:lang w:val="en-US" w:eastAsia="zh-CN"/>
              </w:rPr>
            </w:pPr>
            <w:r>
              <w:rPr>
                <w:rFonts w:hint="eastAsia"/>
                <w:b/>
                <w:sz w:val="20"/>
                <w:lang w:val="en-US" w:eastAsia="zh-CN"/>
              </w:rPr>
              <w:t>触电：控制措施：管理方案，运行控制，应急预案</w:t>
            </w:r>
          </w:p>
          <w:p>
            <w:pPr>
              <w:snapToGrid w:val="0"/>
              <w:spacing w:line="280" w:lineRule="exact"/>
              <w:jc w:val="both"/>
              <w:rPr>
                <w:rFonts w:hint="eastAsia"/>
                <w:b/>
                <w:sz w:val="20"/>
                <w:lang w:val="en-US" w:eastAsia="zh-CN"/>
              </w:rPr>
            </w:pPr>
            <w:r>
              <w:rPr>
                <w:rFonts w:hint="eastAsia"/>
                <w:b/>
                <w:sz w:val="20"/>
                <w:lang w:val="en-US" w:eastAsia="zh-CN"/>
              </w:rPr>
              <w:t>机械伤害及物体打击：控制措施：防护用品，管理方案，运行控制，应急预案</w:t>
            </w:r>
          </w:p>
          <w:p>
            <w:pPr>
              <w:snapToGrid w:val="0"/>
              <w:spacing w:line="280" w:lineRule="exact"/>
              <w:jc w:val="both"/>
              <w:rPr>
                <w:rFonts w:hint="eastAsia"/>
                <w:b/>
                <w:sz w:val="20"/>
                <w:lang w:val="en-US" w:eastAsia="zh-CN"/>
              </w:rPr>
            </w:pPr>
            <w:r>
              <w:rPr>
                <w:rFonts w:hint="eastAsia"/>
                <w:b/>
                <w:sz w:val="20"/>
                <w:lang w:val="en-US" w:eastAsia="zh-CN"/>
              </w:rPr>
              <w:t>传染病：控制措施：防护用品，管理方案，运行控制，应急预案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职业健康安全</w:t>
            </w:r>
            <w:r>
              <w:rPr>
                <w:rFonts w:hint="eastAsia"/>
                <w:b/>
                <w:sz w:val="20"/>
              </w:rPr>
              <w:t>法律法规的要求及产品标准</w:t>
            </w:r>
          </w:p>
        </w:tc>
        <w:tc>
          <w:tcPr>
            <w:tcW w:w="8424" w:type="dxa"/>
            <w:gridSpan w:val="7"/>
            <w:vAlign w:val="center"/>
          </w:tcPr>
          <w:p>
            <w:pPr>
              <w:snapToGrid w:val="0"/>
              <w:spacing w:line="280" w:lineRule="exact"/>
              <w:jc w:val="both"/>
              <w:rPr>
                <w:rFonts w:hint="eastAsia"/>
                <w:b/>
                <w:sz w:val="20"/>
                <w:lang w:val="en-US" w:eastAsia="zh-CN"/>
              </w:rPr>
            </w:pPr>
            <w:r>
              <w:rPr>
                <w:rFonts w:hint="eastAsia"/>
                <w:b/>
                <w:sz w:val="20"/>
                <w:lang w:val="en-US" w:eastAsia="zh-CN"/>
              </w:rPr>
              <w:t>中华人民共和国传染病防治法实施办法、中华人民共和国突发事件应对法、中华人民共和国传染病防治法、突发公共卫生事件与传染病疫情监测信息报告管理办法、突发公共卫生事件应急条例 、企事业单位复工复产疫情防控措施指南、关于妥善处理新型冠状病毒感染的肺炎疫情防控期间劳动关系问题的通知 、公共场所卫生管理条例、安全生产法、道路交通安全法、未成年人保护法等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rFonts w:hint="default"/>
                <w:b/>
                <w:sz w:val="14"/>
                <w:szCs w:val="14"/>
                <w:lang w:val="en-US"/>
              </w:rPr>
            </w:pPr>
            <w:r>
              <w:rPr>
                <w:rFonts w:hint="eastAsia"/>
                <w:b/>
                <w:sz w:val="20"/>
                <w:lang w:val="en-US" w:eastAsia="zh-CN"/>
              </w:rPr>
              <w:t>作业场所职业健康安全监测报告（适用时）</w:t>
            </w:r>
          </w:p>
        </w:tc>
        <w:tc>
          <w:tcPr>
            <w:tcW w:w="8424" w:type="dxa"/>
            <w:gridSpan w:val="7"/>
            <w:vAlign w:val="center"/>
          </w:tcPr>
          <w:p>
            <w:pPr>
              <w:snapToGrid w:val="0"/>
              <w:spacing w:line="280" w:lineRule="exact"/>
              <w:jc w:val="left"/>
              <w:rPr>
                <w:rFonts w:hint="eastAsia" w:eastAsia="宋体"/>
                <w:b/>
                <w:sz w:val="20"/>
                <w:lang w:eastAsia="zh-CN"/>
              </w:rPr>
            </w:pPr>
            <w:r>
              <w:rPr>
                <w:rFonts w:hint="eastAsia"/>
                <w:b/>
                <w:sz w:val="20"/>
                <w:lang w:eastAsia="zh-CN"/>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both"/>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both"/>
              <w:rPr>
                <w:rFonts w:hint="eastAsia" w:eastAsia="宋体"/>
                <w:b/>
                <w:sz w:val="20"/>
                <w:lang w:eastAsia="zh-CN"/>
              </w:rPr>
            </w:pPr>
            <w:r>
              <w:rPr>
                <w:rFonts w:hint="eastAsia"/>
                <w:b/>
                <w:sz w:val="20"/>
                <w:lang w:eastAsia="zh-CN"/>
              </w:rPr>
              <w:t>杨园</w:t>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both"/>
              <w:rPr>
                <w:rFonts w:hint="default" w:eastAsia="宋体"/>
                <w:b/>
                <w:sz w:val="20"/>
                <w:lang w:val="en-US" w:eastAsia="zh-CN"/>
              </w:rPr>
            </w:pPr>
            <w:r>
              <w:rPr>
                <w:rFonts w:hint="eastAsia"/>
                <w:b/>
                <w:sz w:val="20"/>
                <w:lang w:val="en-US" w:eastAsia="zh-CN"/>
              </w:rPr>
              <w:t>2022.10.18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both"/>
              <w:rPr>
                <w:rFonts w:hint="eastAsia" w:eastAsia="宋体"/>
                <w:b/>
                <w:sz w:val="20"/>
                <w:lang w:eastAsia="zh-CN"/>
              </w:rPr>
            </w:pPr>
            <w:r>
              <w:rPr>
                <w:rFonts w:hint="eastAsia"/>
                <w:b/>
                <w:sz w:val="20"/>
                <w:lang w:eastAsia="zh-CN"/>
              </w:rPr>
              <w:t>杨园</w:t>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both"/>
              <w:rPr>
                <w:rFonts w:hint="default" w:eastAsia="宋体"/>
                <w:b/>
                <w:sz w:val="20"/>
                <w:lang w:val="en-US" w:eastAsia="zh-CN"/>
              </w:rPr>
            </w:pPr>
            <w:r>
              <w:rPr>
                <w:rFonts w:hint="eastAsia"/>
                <w:b/>
                <w:sz w:val="20"/>
                <w:lang w:val="en-US" w:eastAsia="zh-CN"/>
              </w:rPr>
              <w:t>2022.10.18</w:t>
            </w:r>
            <w:bookmarkStart w:id="2" w:name="_GoBack"/>
            <w:bookmarkEnd w:id="2"/>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945" w:firstLineChars="450"/>
      <w:jc w:val="left"/>
      <w:rPr>
        <w:rStyle w:val="13"/>
        <w:rFonts w:hint="default"/>
      </w:rPr>
    </w:pPr>
    <w:r>
      <w:rPr>
        <w:rStyle w:val="13"/>
        <w:rFonts w:hint="default"/>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900" w:firstLineChars="500"/>
      <w:jc w:val="left"/>
    </w:pPr>
    <w:r>
      <w:pict>
        <v:shape id="文本框 1025" o:spid="_x0000_s2049" o:spt="202" type="#_x0000_t202" style="position:absolute;left:0pt;margin-left:379.65pt;margin-top:2.8pt;height:20.2pt;width:111.8pt;z-index:251659264;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3"/>
        <w:rFonts w:hint="default"/>
        <w:w w:val="90"/>
      </w:rPr>
      <w:t>Beijing International Standard united Certification Co.,Ltd.</w:t>
    </w:r>
  </w:p>
  <w:p>
    <w:pPr>
      <w:pStyle w:val="7"/>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jk5YTFkYjFhYjNiNjIyOTkyMTY0NmZjZDIxZWNjMDcifQ=="/>
  </w:docVars>
  <w:rsids>
    <w:rsidRoot w:val="00000000"/>
    <w:rsid w:val="0BCC37C1"/>
    <w:rsid w:val="0FED7751"/>
    <w:rsid w:val="0FFC5F71"/>
    <w:rsid w:val="184B2BC3"/>
    <w:rsid w:val="1F777037"/>
    <w:rsid w:val="28DC0900"/>
    <w:rsid w:val="29E24D54"/>
    <w:rsid w:val="3D4E0F7F"/>
    <w:rsid w:val="424F0B41"/>
    <w:rsid w:val="4655261D"/>
    <w:rsid w:val="4C7116FF"/>
    <w:rsid w:val="6D76267E"/>
    <w:rsid w:val="74F17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pPr>
    <w:rPr>
      <w:rFonts w:hint="default" w:ascii="Calibri" w:hAnsi="Calibri" w:eastAsia="宋体" w:cs="Times New Roman"/>
      <w:color w:val="000000"/>
      <w:kern w:val="0"/>
      <w:sz w:val="24"/>
      <w:szCs w:val="24"/>
      <w:lang w:val="en-US" w:eastAsia="zh-CN" w:bidi="ar"/>
    </w:rPr>
  </w:style>
  <w:style w:type="paragraph" w:styleId="3">
    <w:name w:val="Body Text Indent"/>
    <w:basedOn w:val="1"/>
    <w:next w:val="4"/>
    <w:qFormat/>
    <w:uiPriority w:val="0"/>
    <w:pPr>
      <w:spacing w:after="120" w:afterLines="0"/>
      <w:ind w:left="420" w:leftChars="200"/>
    </w:pPr>
  </w:style>
  <w:style w:type="paragraph" w:styleId="4">
    <w:name w:val="toc 3"/>
    <w:basedOn w:val="1"/>
    <w:next w:val="1"/>
    <w:unhideWhenUsed/>
    <w:locked/>
    <w:uiPriority w:val="39"/>
    <w:pPr>
      <w:spacing w:before="0" w:after="100" w:line="276" w:lineRule="auto"/>
      <w:ind w:left="440" w:firstLine="0" w:firstLineChars="0"/>
    </w:pPr>
    <w:rPr>
      <w:sz w:val="22"/>
      <w:szCs w:val="22"/>
    </w:rPr>
  </w:style>
  <w:style w:type="paragraph" w:styleId="5">
    <w:name w:val="Balloon Text"/>
    <w:basedOn w:val="1"/>
    <w:link w:val="12"/>
    <w:semiHidden/>
    <w:unhideWhenUsed/>
    <w:qFormat/>
    <w:uiPriority w:val="99"/>
    <w:rPr>
      <w:sz w:val="18"/>
      <w:szCs w:val="18"/>
    </w:rPr>
  </w:style>
  <w:style w:type="paragraph" w:styleId="6">
    <w:name w:val="footer"/>
    <w:basedOn w:val="1"/>
    <w:link w:val="10"/>
    <w:qFormat/>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脚 Char"/>
    <w:link w:val="6"/>
    <w:qFormat/>
    <w:locked/>
    <w:uiPriority w:val="99"/>
    <w:rPr>
      <w:rFonts w:ascii="Times New Roman" w:hAnsi="Times New Roman" w:eastAsia="宋体" w:cs="Times New Roman"/>
      <w:sz w:val="18"/>
      <w:szCs w:val="18"/>
    </w:rPr>
  </w:style>
  <w:style w:type="character" w:customStyle="1" w:styleId="11">
    <w:name w:val="页眉 Char"/>
    <w:link w:val="7"/>
    <w:qFormat/>
    <w:locked/>
    <w:uiPriority w:val="99"/>
    <w:rPr>
      <w:rFonts w:ascii="Times New Roman" w:hAnsi="Times New Roman" w:eastAsia="宋体" w:cs="Times New Roman"/>
      <w:sz w:val="18"/>
      <w:szCs w:val="18"/>
    </w:rPr>
  </w:style>
  <w:style w:type="character" w:customStyle="1" w:styleId="12">
    <w:name w:val="批注框文本 Char"/>
    <w:link w:val="5"/>
    <w:semiHidden/>
    <w:qFormat/>
    <w:uiPriority w:val="99"/>
    <w:rPr>
      <w:rFonts w:ascii="Times New Roman" w:hAnsi="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1281</Words>
  <Characters>1428</Characters>
  <Lines>2</Lines>
  <Paragraphs>1</Paragraphs>
  <TotalTime>1</TotalTime>
  <ScaleCrop>false</ScaleCrop>
  <LinksUpToDate>false</LinksUpToDate>
  <CharactersWithSpaces>1444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园园</cp:lastModifiedBy>
  <dcterms:modified xsi:type="dcterms:W3CDTF">2022-10-22T05:36:04Z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2052-11.1.0.12598</vt:lpwstr>
  </property>
</Properties>
</file>