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0670-2022-EO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重庆满惠网络科技有限公司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2022年10月13日 上午至2022年10月13日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auto"/>
                <w:szCs w:val="21"/>
              </w:rPr>
              <w:t>审核地址（含远程）</w:t>
            </w:r>
          </w:p>
        </w:tc>
        <w:tc>
          <w:tcPr>
            <w:tcW w:w="7431" w:type="dxa"/>
            <w:tcMar>
              <w:left w:w="113" w:type="dxa"/>
            </w:tcMar>
          </w:tcPr>
          <w:p>
            <w:pPr>
              <w:rPr>
                <w:rFonts w:ascii="宋体"/>
                <w:b/>
                <w:color w:val="0000FF"/>
                <w:szCs w:val="21"/>
              </w:rPr>
            </w:pPr>
            <w:r>
              <w:rPr>
                <w:sz w:val="21"/>
                <w:szCs w:val="21"/>
              </w:rPr>
              <w:t>重庆市江北区建新西路2号22-1(自编号5号)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E:33.02.01</w:t>
            </w:r>
          </w:p>
          <w:p>
            <w:pPr>
              <w:spacing w:line="240" w:lineRule="exact"/>
              <w:jc w:val="center"/>
              <w:rPr>
                <w:b/>
                <w:color w:val="000000"/>
                <w:szCs w:val="21"/>
              </w:rPr>
            </w:pPr>
            <w:r>
              <w:rPr>
                <w:b/>
                <w:color w:val="000000"/>
                <w:szCs w:val="21"/>
              </w:rPr>
              <w:t>O:33.02.01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重庆满惠网络科技有限公司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重庆市江北区建新西路2号22-1(自编号5号)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400020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重庆市江北区建新西路2号22-1(自编号5号)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400020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雷渝申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18623394507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应用软件开发</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ascii="宋体" w:hAnsi="宋体"/>
                <w:sz w:val="21"/>
                <w:szCs w:val="21"/>
              </w:rPr>
            </w:pPr>
            <w:r>
              <w:t>应用软件开发</w:t>
            </w:r>
            <w:r>
              <w:rPr>
                <w:rFonts w:hint="eastAsia" w:ascii="宋体" w:hAnsi="宋体"/>
                <w:sz w:val="21"/>
                <w:szCs w:val="21"/>
              </w:rPr>
              <w:t>流程：</w:t>
            </w:r>
          </w:p>
          <w:p>
            <w:pPr>
              <w:tabs>
                <w:tab w:val="left" w:pos="360"/>
              </w:tabs>
              <w:ind w:left="360" w:hanging="360"/>
              <w:rPr>
                <w:rFonts w:ascii="宋体"/>
                <w:color w:val="000000"/>
                <w:szCs w:val="21"/>
              </w:rPr>
            </w:pPr>
            <w:r>
              <w:rPr>
                <w:rFonts w:hint="eastAsia" w:ascii="宋体" w:hAnsi="宋体"/>
                <w:sz w:val="21"/>
                <w:szCs w:val="21"/>
              </w:rPr>
              <w:t>项目</w:t>
            </w:r>
            <w:r>
              <w:rPr>
                <w:rFonts w:hint="eastAsia" w:ascii="宋体" w:hAnsi="宋体"/>
                <w:sz w:val="21"/>
                <w:szCs w:val="21"/>
                <w:lang w:val="en-US" w:eastAsia="zh-CN"/>
              </w:rPr>
              <w:t>规划</w:t>
            </w:r>
            <w:r>
              <w:rPr>
                <w:rFonts w:hint="eastAsia" w:ascii="宋体" w:hAnsi="宋体"/>
                <w:sz w:val="21"/>
                <w:szCs w:val="21"/>
              </w:rPr>
              <w:t>——</w:t>
            </w:r>
            <w:r>
              <w:rPr>
                <w:rFonts w:hint="eastAsia" w:ascii="宋体" w:hAnsi="宋体"/>
                <w:sz w:val="21"/>
                <w:szCs w:val="21"/>
                <w:lang w:val="en-US" w:eastAsia="zh-CN"/>
              </w:rPr>
              <w:t>方案设计</w:t>
            </w:r>
            <w:r>
              <w:rPr>
                <w:rFonts w:hint="eastAsia" w:ascii="宋体" w:hAnsi="宋体"/>
                <w:sz w:val="21"/>
                <w:szCs w:val="21"/>
              </w:rPr>
              <w:t>——</w:t>
            </w:r>
            <w:r>
              <w:rPr>
                <w:rFonts w:hint="eastAsia" w:ascii="宋体" w:hAnsi="宋体"/>
                <w:sz w:val="21"/>
                <w:szCs w:val="21"/>
                <w:lang w:val="en-US" w:eastAsia="zh-CN"/>
              </w:rPr>
              <w:t>系统构建</w:t>
            </w:r>
            <w:r>
              <w:rPr>
                <w:rFonts w:hint="eastAsia" w:ascii="宋体" w:hAnsi="宋体"/>
                <w:sz w:val="21"/>
                <w:szCs w:val="21"/>
              </w:rPr>
              <w:t>——</w:t>
            </w:r>
            <w:r>
              <w:rPr>
                <w:rFonts w:hint="eastAsia" w:ascii="宋体" w:hAnsi="宋体"/>
                <w:sz w:val="21"/>
                <w:szCs w:val="21"/>
                <w:lang w:val="en-US" w:eastAsia="zh-CN"/>
              </w:rPr>
              <w:t>上线切换</w:t>
            </w:r>
            <w:r>
              <w:rPr>
                <w:rFonts w:hint="eastAsia" w:ascii="宋体" w:hAnsi="宋体"/>
                <w:sz w:val="21"/>
                <w:szCs w:val="21"/>
              </w:rPr>
              <w:t>——</w:t>
            </w:r>
            <w:r>
              <w:rPr>
                <w:rFonts w:hint="eastAsia" w:ascii="宋体" w:hAnsi="宋体"/>
                <w:sz w:val="21"/>
                <w:szCs w:val="21"/>
                <w:lang w:val="en-US" w:eastAsia="zh-CN"/>
              </w:rPr>
              <w:t>持续支持。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应用软件开发所涉及场所的相关环境管理活动</w:t>
            </w:r>
          </w:p>
        </w:tc>
        <w:tc>
          <w:tcPr>
            <w:tcW w:w="2006" w:type="dxa"/>
            <w:gridSpan w:val="3"/>
            <w:vAlign w:val="center"/>
          </w:tcPr>
          <w:p>
            <w:pPr>
              <w:rPr>
                <w:rFonts w:ascii="宋体" w:hAnsi="宋体"/>
                <w:b/>
                <w:color w:val="000000"/>
                <w:szCs w:val="21"/>
              </w:rPr>
            </w:pPr>
            <w:bookmarkStart w:id="35" w:name="专业代码"/>
            <w:r>
              <w:t>E：33.02.01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应用软件开发所涉及场所的相关职业健康安全管理活动</w:t>
            </w:r>
          </w:p>
        </w:tc>
        <w:tc>
          <w:tcPr>
            <w:tcW w:w="2006" w:type="dxa"/>
            <w:gridSpan w:val="3"/>
            <w:vAlign w:val="center"/>
          </w:tcPr>
          <w:p>
            <w:pPr>
              <w:spacing w:line="400" w:lineRule="exact"/>
              <w:rPr>
                <w:rFonts w:ascii="宋体" w:hAnsi="宋体"/>
                <w:b/>
                <w:color w:val="000000"/>
                <w:szCs w:val="21"/>
              </w:rPr>
            </w:pPr>
            <w:r>
              <w:t>O：33.02.01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03"/>
        <w:gridCol w:w="1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重庆满惠网络科技有限公司</w:t>
            </w:r>
            <w:r>
              <w:rPr>
                <w:rFonts w:hint="eastAsia"/>
                <w:sz w:val="21"/>
                <w:szCs w:val="21"/>
                <w:lang w:val="en-US" w:eastAsia="zh-CN"/>
              </w:rPr>
              <w:t>/</w:t>
            </w:r>
            <w:r>
              <w:rPr>
                <w:sz w:val="21"/>
                <w:szCs w:val="21"/>
              </w:rPr>
              <w:t>重庆市江北区建新西路2号22-1(自编号5号)</w:t>
            </w:r>
          </w:p>
        </w:tc>
        <w:tc>
          <w:tcPr>
            <w:tcW w:w="2267" w:type="dxa"/>
          </w:tcPr>
          <w:p>
            <w:pPr>
              <w:spacing w:before="40" w:after="40"/>
              <w:rPr>
                <w:rFonts w:eastAsia="黑体"/>
                <w:szCs w:val="21"/>
                <w:lang w:val="de-DE" w:eastAsia="ja-JP"/>
              </w:rPr>
            </w:pPr>
            <w:r>
              <w:rPr>
                <w:sz w:val="21"/>
                <w:szCs w:val="21"/>
              </w:rPr>
              <w:t>重庆市江北区建新西路2号22-1(自编号5号)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64</w:t>
            </w:r>
          </w:p>
        </w:tc>
        <w:tc>
          <w:tcPr>
            <w:tcW w:w="1803" w:type="dxa"/>
            <w:vAlign w:val="center"/>
          </w:tcPr>
          <w:p>
            <w:pPr>
              <w:pStyle w:val="21"/>
              <w:rPr>
                <w:rFonts w:eastAsia="黑体" w:cs="Arial"/>
                <w:sz w:val="21"/>
                <w:szCs w:val="21"/>
                <w:lang w:val="en-US" w:eastAsia="ja-JP"/>
              </w:rPr>
            </w:pPr>
            <w:r>
              <w:t>应用软件开发</w:t>
            </w:r>
          </w:p>
        </w:tc>
        <w:tc>
          <w:tcPr>
            <w:tcW w:w="1669" w:type="dxa"/>
            <w:vAlign w:val="center"/>
          </w:tcPr>
          <w:p>
            <w:pPr>
              <w:pStyle w:val="21"/>
              <w:rPr>
                <w:rFonts w:hint="eastAsia" w:ascii="宋体" w:hAnsi="宋体" w:cs="宋体"/>
                <w:color w:val="000000"/>
                <w:kern w:val="0"/>
                <w:szCs w:val="21"/>
                <w:lang w:eastAsia="zh-CN"/>
              </w:rPr>
            </w:pPr>
            <w:r>
              <w:rPr>
                <w:rFonts w:hint="eastAsia" w:ascii="宋体" w:hAnsi="宋体" w:cs="宋体"/>
                <w:color w:val="000000"/>
                <w:kern w:val="0"/>
                <w:szCs w:val="21"/>
              </w:rPr>
              <w:t>GB/T24001-2016</w:t>
            </w:r>
          </w:p>
          <w:p>
            <w:pPr>
              <w:pStyle w:val="21"/>
              <w:rPr>
                <w:rFonts w:eastAsia="黑体"/>
                <w:szCs w:val="21"/>
                <w:lang w:eastAsia="ja-JP"/>
              </w:rPr>
            </w:pPr>
            <w:r>
              <w:rPr>
                <w:rFonts w:hint="eastAsia" w:ascii="宋体" w:hAnsi="宋体" w:cs="宋体"/>
                <w:color w:val="000000"/>
                <w:kern w:val="0"/>
                <w:szCs w:val="21"/>
              </w:rPr>
              <w:t>GB/T45001-2020</w:t>
            </w:r>
          </w:p>
        </w:tc>
        <w:tc>
          <w:tcPr>
            <w:tcW w:w="668" w:type="dxa"/>
            <w:shd w:val="clear" w:color="auto" w:fill="FFFFFF"/>
            <w:vAlign w:val="top"/>
          </w:tcPr>
          <w:p>
            <w:pPr>
              <w:rPr>
                <w:rFonts w:eastAsia="黑体"/>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03" w:type="dxa"/>
            <w:vAlign w:val="center"/>
          </w:tcPr>
          <w:p>
            <w:pPr>
              <w:spacing w:before="40" w:after="40"/>
              <w:rPr>
                <w:rFonts w:eastAsia="黑体"/>
                <w:szCs w:val="21"/>
                <w:lang w:eastAsia="ja-JP"/>
              </w:rPr>
            </w:pPr>
          </w:p>
        </w:tc>
        <w:tc>
          <w:tcPr>
            <w:tcW w:w="1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03" w:type="dxa"/>
            <w:vAlign w:val="center"/>
          </w:tcPr>
          <w:p>
            <w:pPr>
              <w:spacing w:before="40" w:after="40"/>
              <w:rPr>
                <w:rFonts w:eastAsia="黑体"/>
                <w:szCs w:val="21"/>
                <w:lang w:eastAsia="ja-JP"/>
              </w:rPr>
            </w:pPr>
          </w:p>
        </w:tc>
        <w:tc>
          <w:tcPr>
            <w:tcW w:w="1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03" w:type="dxa"/>
            <w:vAlign w:val="center"/>
          </w:tcPr>
          <w:p>
            <w:pPr>
              <w:spacing w:before="40" w:after="40"/>
              <w:rPr>
                <w:rFonts w:eastAsia="黑体"/>
                <w:szCs w:val="21"/>
                <w:lang w:eastAsia="ja-JP"/>
              </w:rPr>
            </w:pPr>
          </w:p>
        </w:tc>
        <w:tc>
          <w:tcPr>
            <w:tcW w:w="1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03" w:type="dxa"/>
            <w:vAlign w:val="center"/>
          </w:tcPr>
          <w:p>
            <w:pPr>
              <w:spacing w:before="40" w:after="40"/>
              <w:rPr>
                <w:rFonts w:eastAsia="黑体"/>
                <w:szCs w:val="21"/>
                <w:lang w:eastAsia="ja-JP"/>
              </w:rPr>
            </w:pPr>
          </w:p>
        </w:tc>
        <w:tc>
          <w:tcPr>
            <w:tcW w:w="1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w:t>
            </w:r>
            <w:r>
              <w:rPr>
                <w:rFonts w:hint="eastAsia" w:ascii="宋体" w:hAnsi="宋体" w:eastAsia="宋体"/>
                <w:b/>
                <w:color w:val="000000"/>
                <w:szCs w:val="21"/>
                <w:u w:val="single"/>
                <w:lang w:val="en-US" w:eastAsia="zh-CN"/>
              </w:rPr>
              <w:t>2</w:t>
            </w:r>
            <w:r>
              <w:rPr>
                <w:rFonts w:hint="eastAsia" w:ascii="宋体" w:hAnsi="宋体" w:eastAsia="宋体"/>
                <w:b/>
                <w:color w:val="000000"/>
                <w:szCs w:val="21"/>
                <w:u w:val="single"/>
              </w:rPr>
              <w:t>年</w:t>
            </w:r>
            <w:r>
              <w:rPr>
                <w:rFonts w:hint="eastAsia" w:ascii="宋体" w:hAnsi="宋体" w:eastAsia="宋体"/>
                <w:b/>
                <w:color w:val="000000"/>
                <w:szCs w:val="21"/>
                <w:u w:val="single"/>
                <w:lang w:val="en-US" w:eastAsia="zh-CN"/>
              </w:rPr>
              <w:t>4</w:t>
            </w:r>
            <w:r>
              <w:rPr>
                <w:rFonts w:hint="eastAsia" w:ascii="宋体" w:hAnsi="宋体" w:eastAsia="宋体"/>
                <w:b/>
                <w:color w:val="000000"/>
                <w:szCs w:val="21"/>
                <w:u w:val="single"/>
              </w:rPr>
              <w:t>月</w:t>
            </w:r>
            <w:r>
              <w:rPr>
                <w:rFonts w:hint="eastAsia" w:ascii="宋体" w:hAnsi="宋体" w:eastAsia="宋体"/>
                <w:b/>
                <w:color w:val="000000"/>
                <w:szCs w:val="21"/>
                <w:u w:val="single"/>
                <w:lang w:val="en-US" w:eastAsia="zh-CN"/>
              </w:rPr>
              <w:t>1</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w:t>
            </w:r>
            <w:r>
              <w:rPr>
                <w:rFonts w:hint="eastAsia" w:ascii="宋体" w:hAnsi="宋体"/>
                <w:b/>
                <w:color w:val="000000"/>
                <w:szCs w:val="21"/>
                <w:u w:val="single"/>
                <w:lang w:val="en-US" w:eastAsia="zh-CN"/>
              </w:rPr>
              <w:t>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2022年9月30日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vAlign w:val="top"/>
          </w:tcPr>
          <w:p>
            <w:pP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（6）对特种设备是否按法规要求检测和备案且完好运行 </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（7）环保设施是否满足合规义务要求且完好运行 </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firstLineChars="0"/>
              <w:jc w:val="left"/>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环境管理体系认证范围内的合规性证据</w:t>
            </w:r>
          </w:p>
          <w:p>
            <w:pPr>
              <w:ind w:left="-1" w:leftChars="-1" w:hanging="1"/>
              <w:jc w:val="left"/>
              <w:rPr>
                <w:rFonts w:ascii="宋体"/>
                <w:color w:val="00000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是否按法规办理了环境影响评价登记表/报告表/报告书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是否按法规办理了环境影响评价报告表/报告书的验收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是否按法规办理了《排污许可证》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是否提供近期环境监测报告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环保处罚、曝光和投诉</w:t>
            </w:r>
          </w:p>
          <w:p>
            <w:pPr>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vAlign w:val="top"/>
          </w:tcPr>
          <w:p>
            <w:pPr>
              <w:rPr>
                <w:rFonts w:ascii="宋体"/>
                <w:color w:val="000000"/>
                <w:spacing w:val="-10"/>
                <w:szCs w:val="21"/>
              </w:rPr>
            </w:pPr>
            <w:r>
              <w:rPr>
                <w:rFonts w:hint="eastAsia" w:ascii="宋体"/>
                <w:color w:val="000000"/>
                <w:spacing w:val="-10"/>
                <w:szCs w:val="21"/>
              </w:rPr>
              <w:t>环境管理体系重点关注</w:t>
            </w:r>
          </w:p>
          <w:p>
            <w:pPr>
              <w:rPr>
                <w:rFonts w:ascii="宋体" w:hAnsi="Times New Roman" w:eastAsia="宋体" w:cs="Times New Roman"/>
                <w:color w:val="000000"/>
                <w:spacing w:val="-10"/>
                <w:kern w:val="2"/>
                <w:sz w:val="21"/>
                <w:szCs w:val="21"/>
                <w:lang w:val="en-US" w:eastAsia="zh-CN" w:bidi="ar-SA"/>
              </w:rPr>
            </w:pPr>
          </w:p>
        </w:tc>
        <w:tc>
          <w:tcPr>
            <w:tcW w:w="8684" w:type="dxa"/>
            <w:gridSpan w:val="3"/>
            <w:shd w:val="clear" w:color="auto" w:fill="92D050"/>
            <w:vAlign w:val="top"/>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其他：</w:t>
            </w:r>
          </w:p>
        </w:tc>
      </w:tr>
    </w:tbl>
    <w:tbl>
      <w:tblPr>
        <w:tblStyle w:val="10"/>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-1</w:t>
            </w:r>
            <w:r>
              <w:rPr>
                <w:rFonts w:hint="eastAsia" w:ascii="宋体"/>
                <w:b/>
                <w:color w:val="000000"/>
                <w:szCs w:val="21"/>
                <w:lang w:val="en-US" w:eastAsia="zh-CN"/>
              </w:rPr>
              <w:t>0</w:t>
            </w:r>
            <w:r>
              <w:rPr>
                <w:rFonts w:hint="eastAsia" w:ascii="宋体"/>
                <w:b/>
                <w:color w:val="000000"/>
                <w:szCs w:val="21"/>
              </w:rPr>
              <w:t>-1</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bookmarkStart w:id="37" w:name="审核范围"/>
            <w:r>
              <w:t>应用软件开发所涉及场所的相关环境管理活动</w:t>
            </w:r>
          </w:p>
          <w:bookmarkEnd w:id="37"/>
          <w:p>
            <w:pPr>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sz w:val="21"/>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应用软件开发所涉及场所的相关职业健康安全管理活动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sz w:val="21"/>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szCs w:val="21"/>
        </w:rPr>
        <w:drawing>
          <wp:anchor distT="0" distB="0" distL="114300" distR="114300" simplePos="0" relativeHeight="251663360" behindDoc="0" locked="0" layoutInCell="1" allowOverlap="1">
            <wp:simplePos x="0" y="0"/>
            <wp:positionH relativeFrom="column">
              <wp:posOffset>1732280</wp:posOffset>
            </wp:positionH>
            <wp:positionV relativeFrom="paragraph">
              <wp:posOffset>366395</wp:posOffset>
            </wp:positionV>
            <wp:extent cx="760730" cy="391795"/>
            <wp:effectExtent l="0" t="0" r="1270" b="8255"/>
            <wp:wrapNone/>
            <wp:docPr id="9"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签名1"/>
                    <pic:cNvPicPr>
                      <a:picLocks noChangeAspect="1"/>
                    </pic:cNvPicPr>
                  </pic:nvPicPr>
                  <pic:blipFill>
                    <a:blip r:embed="rId6"/>
                    <a:stretch>
                      <a:fillRect/>
                    </a:stretch>
                  </pic:blipFill>
                  <pic:spPr>
                    <a:xfrm>
                      <a:off x="0" y="0"/>
                      <a:ext cx="760730" cy="39179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2022年10月13日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sz w:val="21"/>
          <w:szCs w:val="21"/>
        </w:rPr>
        <w:t>重庆满惠网络科技有限公司</w:t>
      </w:r>
      <w:bookmarkStart w:id="38" w:name="_GoBack"/>
      <w:bookmarkEnd w:id="38"/>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ascii="方正仿宋简体" w:eastAsia="方正仿宋简体"/>
                <w:szCs w:val="21"/>
              </w:rPr>
              <w:drawing>
                <wp:anchor distT="0" distB="0" distL="114300" distR="114300" simplePos="0" relativeHeight="251664384" behindDoc="0" locked="0" layoutInCell="1" allowOverlap="1">
                  <wp:simplePos x="0" y="0"/>
                  <wp:positionH relativeFrom="column">
                    <wp:posOffset>684530</wp:posOffset>
                  </wp:positionH>
                  <wp:positionV relativeFrom="paragraph">
                    <wp:posOffset>179705</wp:posOffset>
                  </wp:positionV>
                  <wp:extent cx="760730" cy="391795"/>
                  <wp:effectExtent l="0" t="0" r="1270" b="8255"/>
                  <wp:wrapNone/>
                  <wp:docPr id="10"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签名1"/>
                          <pic:cNvPicPr>
                            <a:picLocks noChangeAspect="1"/>
                          </pic:cNvPicPr>
                        </pic:nvPicPr>
                        <pic:blipFill>
                          <a:blip r:embed="rId6"/>
                          <a:stretch>
                            <a:fillRect/>
                          </a:stretch>
                        </pic:blipFill>
                        <pic:spPr>
                          <a:xfrm>
                            <a:off x="0" y="0"/>
                            <a:ext cx="760730" cy="39179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w:t>
            </w:r>
            <w:r>
              <w:rPr>
                <w:rFonts w:hint="eastAsia"/>
                <w:b/>
                <w:sz w:val="21"/>
                <w:szCs w:val="21"/>
                <w:lang w:val="en-US" w:eastAsia="zh-CN"/>
              </w:rPr>
              <w:t>2</w:t>
            </w:r>
            <w:r>
              <w:rPr>
                <w:rFonts w:hint="eastAsia"/>
                <w:b/>
                <w:sz w:val="21"/>
                <w:szCs w:val="21"/>
              </w:rPr>
              <w:t>年1</w:t>
            </w:r>
            <w:r>
              <w:rPr>
                <w:rFonts w:hint="eastAsia"/>
                <w:b/>
                <w:sz w:val="21"/>
                <w:szCs w:val="21"/>
                <w:lang w:val="en-US" w:eastAsia="zh-CN"/>
              </w:rPr>
              <w:t>0</w:t>
            </w:r>
            <w:r>
              <w:rPr>
                <w:rFonts w:hint="eastAsia"/>
                <w:b/>
                <w:sz w:val="21"/>
                <w:szCs w:val="21"/>
              </w:rPr>
              <w:t>月1</w:t>
            </w:r>
            <w:r>
              <w:rPr>
                <w:rFonts w:hint="eastAsia"/>
                <w:b/>
                <w:sz w:val="21"/>
                <w:szCs w:val="21"/>
                <w:lang w:val="en-US" w:eastAsia="zh-CN"/>
              </w:rPr>
              <w:t>3</w:t>
            </w:r>
            <w:r>
              <w:rPr>
                <w:rFonts w:hint="eastAsia"/>
                <w:b/>
                <w:sz w:val="21"/>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sz w:val="21"/>
                <w:szCs w:val="21"/>
              </w:rPr>
              <w:t>雷渝申</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w:t>
            </w:r>
            <w:r>
              <w:rPr>
                <w:rFonts w:hint="eastAsia"/>
                <w:b/>
                <w:sz w:val="21"/>
                <w:szCs w:val="21"/>
                <w:lang w:val="en-US" w:eastAsia="zh-CN"/>
              </w:rPr>
              <w:t>2</w:t>
            </w:r>
            <w:r>
              <w:rPr>
                <w:rFonts w:hint="eastAsia"/>
                <w:b/>
                <w:sz w:val="21"/>
                <w:szCs w:val="21"/>
              </w:rPr>
              <w:t>年1</w:t>
            </w:r>
            <w:r>
              <w:rPr>
                <w:rFonts w:hint="eastAsia"/>
                <w:b/>
                <w:sz w:val="21"/>
                <w:szCs w:val="21"/>
                <w:lang w:val="en-US" w:eastAsia="zh-CN"/>
              </w:rPr>
              <w:t>0</w:t>
            </w:r>
            <w:r>
              <w:rPr>
                <w:rFonts w:hint="eastAsia"/>
                <w:b/>
                <w:sz w:val="21"/>
                <w:szCs w:val="21"/>
              </w:rPr>
              <w:t>月1</w:t>
            </w:r>
            <w:r>
              <w:rPr>
                <w:rFonts w:hint="eastAsia"/>
                <w:b/>
                <w:sz w:val="21"/>
                <w:szCs w:val="21"/>
                <w:lang w:val="en-US" w:eastAsia="zh-CN"/>
              </w:rPr>
              <w:t>3</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方正仿宋简体" w:eastAsia="方正仿宋简体"/>
                <w:szCs w:val="21"/>
              </w:rPr>
              <w:drawing>
                <wp:anchor distT="0" distB="0" distL="114300" distR="114300" simplePos="0" relativeHeight="251665408" behindDoc="0" locked="0" layoutInCell="1" allowOverlap="1">
                  <wp:simplePos x="0" y="0"/>
                  <wp:positionH relativeFrom="column">
                    <wp:posOffset>589280</wp:posOffset>
                  </wp:positionH>
                  <wp:positionV relativeFrom="paragraph">
                    <wp:posOffset>50165</wp:posOffset>
                  </wp:positionV>
                  <wp:extent cx="760730" cy="391795"/>
                  <wp:effectExtent l="0" t="0" r="1270" b="8255"/>
                  <wp:wrapNone/>
                  <wp:docPr id="11"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签名1"/>
                          <pic:cNvPicPr>
                            <a:picLocks noChangeAspect="1"/>
                          </pic:cNvPicPr>
                        </pic:nvPicPr>
                        <pic:blipFill>
                          <a:blip r:embed="rId6"/>
                          <a:stretch>
                            <a:fillRect/>
                          </a:stretch>
                        </pic:blipFill>
                        <pic:spPr>
                          <a:xfrm>
                            <a:off x="0" y="0"/>
                            <a:ext cx="760730" cy="39179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sz w:val="21"/>
                <w:szCs w:val="21"/>
              </w:rPr>
              <w:t>202</w:t>
            </w:r>
            <w:r>
              <w:rPr>
                <w:rFonts w:hint="eastAsia"/>
                <w:b/>
                <w:sz w:val="21"/>
                <w:szCs w:val="21"/>
                <w:lang w:val="en-US" w:eastAsia="zh-CN"/>
              </w:rPr>
              <w:t>2</w:t>
            </w:r>
            <w:r>
              <w:rPr>
                <w:rFonts w:hint="eastAsia"/>
                <w:b/>
                <w:sz w:val="21"/>
                <w:szCs w:val="21"/>
              </w:rPr>
              <w:t>年1</w:t>
            </w:r>
            <w:r>
              <w:rPr>
                <w:rFonts w:hint="eastAsia"/>
                <w:b/>
                <w:sz w:val="21"/>
                <w:szCs w:val="21"/>
                <w:lang w:val="en-US" w:eastAsia="zh-CN"/>
              </w:rPr>
              <w:t>0</w:t>
            </w:r>
            <w:r>
              <w:rPr>
                <w:rFonts w:hint="eastAsia"/>
                <w:b/>
                <w:sz w:val="21"/>
                <w:szCs w:val="21"/>
              </w:rPr>
              <w:t>月1</w:t>
            </w:r>
            <w:r>
              <w:rPr>
                <w:rFonts w:hint="eastAsia"/>
                <w:b/>
                <w:sz w:val="21"/>
                <w:szCs w:val="21"/>
                <w:lang w:val="en-US" w:eastAsia="zh-CN"/>
              </w:rPr>
              <w:t>3</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7AB1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7567</Words>
  <Characters>8253</Characters>
  <Lines>67</Lines>
  <Paragraphs>18</Paragraphs>
  <TotalTime>0</TotalTime>
  <ScaleCrop>false</ScaleCrop>
  <LinksUpToDate>false</LinksUpToDate>
  <CharactersWithSpaces>8318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2022-10-12T01:30:35Z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