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0662-2022-EO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洛阳吉城商贸有限公司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洛阳吉城商贸有限公司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洛阳市西工区王城大道221号4幢1-2503</w:t>
            </w:r>
            <w:bookmarkEnd w:id="6"/>
          </w:p>
        </w:tc>
        <w:tc>
          <w:tcPr>
            <w:tcW w:w="1242" w:type="dxa"/>
            <w:vMerge w:val="restart"/>
            <w:vAlign w:val="center"/>
          </w:tcPr>
          <w:p>
            <w:r>
              <w:rPr>
                <w:rFonts w:hint="eastAsia"/>
              </w:rPr>
              <w:t>邮编</w:t>
            </w:r>
          </w:p>
        </w:tc>
        <w:tc>
          <w:tcPr>
            <w:tcW w:w="1771" w:type="dxa"/>
          </w:tcPr>
          <w:p>
            <w:bookmarkStart w:id="7" w:name="注册邮编"/>
            <w:r>
              <w:t>471000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洛阳市孟津区吉利区文化路六号</w:t>
            </w:r>
            <w:bookmarkEnd w:id="8"/>
          </w:p>
        </w:tc>
        <w:tc>
          <w:tcPr>
            <w:tcW w:w="1242" w:type="dxa"/>
            <w:vMerge w:val="continue"/>
            <w:vAlign w:val="center"/>
          </w:tcPr>
          <w:p/>
        </w:tc>
        <w:tc>
          <w:tcPr>
            <w:tcW w:w="1771" w:type="dxa"/>
          </w:tcPr>
          <w:p>
            <w:bookmarkStart w:id="9" w:name="办公邮编"/>
            <w:r>
              <w:t>471012</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w:t>
            </w:r>
            <w:bookmarkEnd w:id="10"/>
            <w:r>
              <w:rPr>
                <w:rFonts w:hint="eastAsia"/>
                <w:sz w:val="21"/>
                <w:szCs w:val="21"/>
                <w:lang w:val="en-US" w:eastAsia="zh-CN"/>
              </w:rPr>
              <w:t>钰</w:t>
            </w:r>
          </w:p>
        </w:tc>
        <w:tc>
          <w:tcPr>
            <w:tcW w:w="1313" w:type="dxa"/>
            <w:vAlign w:val="center"/>
          </w:tcPr>
          <w:p>
            <w:r>
              <w:rPr>
                <w:rFonts w:hint="eastAsia"/>
              </w:rPr>
              <w:t>电话.</w:t>
            </w:r>
          </w:p>
        </w:tc>
        <w:tc>
          <w:tcPr>
            <w:tcW w:w="2180" w:type="dxa"/>
            <w:vAlign w:val="center"/>
          </w:tcPr>
          <w:p>
            <w:bookmarkStart w:id="11" w:name="联系人电话"/>
            <w:r>
              <w:t>13525939456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胡南堂</w:t>
            </w:r>
            <w:bookmarkEnd w:id="13"/>
          </w:p>
        </w:tc>
        <w:tc>
          <w:tcPr>
            <w:tcW w:w="1313" w:type="dxa"/>
            <w:vAlign w:val="center"/>
          </w:tcPr>
          <w:p>
            <w:r>
              <w:rPr>
                <w:rFonts w:hint="eastAsia"/>
              </w:rPr>
              <w:t>管理者代表</w:t>
            </w:r>
          </w:p>
        </w:tc>
        <w:tc>
          <w:tcPr>
            <w:tcW w:w="2180" w:type="dxa"/>
          </w:tcPr>
          <w:p>
            <w:bookmarkStart w:id="14" w:name="管理者代表"/>
            <w:r>
              <w:t>张钱</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pStyle w:val="23"/>
              <w:spacing w:line="240" w:lineRule="auto"/>
              <w:rPr>
                <w:rFonts w:hint="eastAsia" w:ascii="Times New Roman" w:hAnsi="Times New Roman"/>
                <w:sz w:val="21"/>
                <w:szCs w:val="21"/>
                <w:lang w:val="en-US" w:eastAsia="zh-CN"/>
              </w:rPr>
            </w:pPr>
            <w:r>
              <w:rPr>
                <w:rFonts w:hint="eastAsia" w:ascii="Times New Roman" w:hAnsi="Times New Roman"/>
                <w:sz w:val="21"/>
                <w:szCs w:val="21"/>
                <w:lang w:val="en-US" w:eastAsia="zh-CN"/>
              </w:rPr>
              <w:t>业务洽谈-合同接收-合同评审-采购-验证-入库-交付</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2022年10月14日 上午至2022年10月14日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sym w:font="Wingdings 2" w:char="0052"/>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bookmarkStart w:id="35" w:name="_GoBack"/>
            <w:bookmarkEnd w:id="35"/>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洛阳市孟津区吉利区文化路六号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E：电器设备、仪器仪表、机械设备及 配件、电线电缆、水暖阀门、金属 材料（不含贵金属）、五金工具、 土杂产品、轴承、建筑材料、计算机及配件、办公用品、针纺织品、 化工产品（不含易燃易爆易制毒危险化学品）、装饰材料、通讯设备、包装材料、日用百货、工艺礼 品（不含文物）的销售所涉及场所相关的环境管理活动</w:t>
            </w:r>
          </w:p>
          <w:p>
            <w:r>
              <w:t>O：电器设备、仪器仪表、机械设备及 配件、电线电缆、水暖阀门、金属 材料（不含贵金属）、五金工具、 土杂产品、轴承、建筑材料、计算 机及配件、办公用品、针纺织品、 化工产品（不含易燃易爆易制毒危 险化学品）、装饰材料、通讯设 备、包装材料、日用百货、工艺礼 品（不含文物）的销售所涉及场所相关的职业健康安全管理活动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E：29.12.00</w:t>
            </w:r>
          </w:p>
          <w:p>
            <w:r>
              <w:t>O：29.12.00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Theme="minorEastAsia"/>
                <w:lang w:val="de-DE" w:eastAsia="zh-CN"/>
              </w:rPr>
            </w:pPr>
            <w:r>
              <w:rPr>
                <w:sz w:val="21"/>
                <w:szCs w:val="21"/>
              </w:rPr>
              <w:t>洛阳吉城商贸有限公司</w:t>
            </w:r>
            <w:r>
              <w:rPr>
                <w:rFonts w:hint="eastAsia"/>
                <w:sz w:val="21"/>
                <w:szCs w:val="21"/>
                <w:lang w:eastAsia="zh-CN"/>
              </w:rPr>
              <w:t>；</w:t>
            </w:r>
            <w:r>
              <w:rPr>
                <w:rFonts w:asciiTheme="minorEastAsia" w:hAnsiTheme="minorEastAsia" w:eastAsiaTheme="minorEastAsia"/>
                <w:sz w:val="20"/>
              </w:rPr>
              <w:t>洛阳市西工区王城大道221号4幢1-2503</w:t>
            </w:r>
            <w:r>
              <w:rPr>
                <w:rFonts w:hint="eastAsia" w:asciiTheme="minorEastAsia" w:hAnsiTheme="minorEastAsia" w:eastAsiaTheme="minorEastAsia"/>
                <w:sz w:val="20"/>
                <w:lang w:eastAsia="zh-CN"/>
              </w:rPr>
              <w:t>；</w:t>
            </w:r>
          </w:p>
        </w:tc>
        <w:tc>
          <w:tcPr>
            <w:tcW w:w="2267" w:type="dxa"/>
          </w:tcPr>
          <w:p>
            <w:pPr>
              <w:rPr>
                <w:rFonts w:hint="eastAsia" w:eastAsiaTheme="minorEastAsia"/>
                <w:lang w:val="de-DE" w:eastAsia="zh-CN"/>
              </w:rPr>
            </w:pPr>
            <w:r>
              <w:rPr>
                <w:rFonts w:asciiTheme="minorEastAsia" w:hAnsiTheme="minorEastAsia" w:eastAsiaTheme="minorEastAsia"/>
                <w:sz w:val="20"/>
              </w:rPr>
              <w:t>洛阳市孟津区吉利区文化路六号</w:t>
            </w:r>
            <w:r>
              <w:rPr>
                <w:rFonts w:hint="eastAsia" w:asciiTheme="minorEastAsia" w:hAnsiTheme="minorEastAsia" w:eastAsiaTheme="minorEastAsia"/>
                <w:sz w:val="20"/>
                <w:lang w:eastAsia="zh-CN"/>
              </w:rPr>
              <w:t>；</w:t>
            </w:r>
          </w:p>
        </w:tc>
        <w:tc>
          <w:tcPr>
            <w:tcW w:w="571" w:type="dxa"/>
            <w:vAlign w:val="center"/>
          </w:tcPr>
          <w:p>
            <w:pPr>
              <w:rPr>
                <w:rFonts w:hint="default" w:eastAsia="宋体"/>
                <w:lang w:val="en-US" w:eastAsia="zh-CN"/>
              </w:rPr>
            </w:pPr>
            <w:r>
              <w:rPr>
                <w:rFonts w:hint="eastAsia"/>
                <w:lang w:val="en-US" w:eastAsia="zh-CN"/>
              </w:rPr>
              <w:t>16</w:t>
            </w:r>
          </w:p>
        </w:tc>
        <w:tc>
          <w:tcPr>
            <w:tcW w:w="2803" w:type="dxa"/>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E：电器设备、仪器仪表、机械设备及 配件、电线电缆、水暖阀门、金属 材料（不含贵金属）、五金工具、 土杂产品、轴承、建筑材料、计算机及配件、办公用品、针纺织品、 化工产品（不含易燃易爆易制毒危险化学品）、装饰材料、通讯设备、包装材料、日用百货、工艺礼 品（不含文物）的销售所涉及场所相关的环境管理活动</w:t>
            </w:r>
          </w:p>
          <w:p>
            <w:pPr>
              <w:rPr>
                <w:lang w:eastAsia="ja-JP"/>
              </w:rPr>
            </w:pPr>
            <w:r>
              <w:rPr>
                <w:rFonts w:hint="eastAsia" w:ascii="宋体" w:hAnsi="宋体" w:cs="宋体"/>
                <w:color w:val="000000"/>
                <w:kern w:val="0"/>
                <w:szCs w:val="21"/>
              </w:rPr>
              <w:t>O：电器设备、仪器仪表、机械设备及 配件、电线电缆、水暖阀门、金属 材料（不含贵金属）、五金工具、 土杂产品、轴承、建筑材料、计算 机及配件、办公用品、针纺织品、 化工产品（不含易燃易爆易制毒危 险化学品）、装饰材料、通讯设 备、包装材料、日用百货、工艺礼 品（不含文物）的销售所涉及场所相关的职业健康安全管理活动</w:t>
            </w:r>
          </w:p>
        </w:tc>
        <w:tc>
          <w:tcPr>
            <w:tcW w:w="669" w:type="dxa"/>
            <w:vAlign w:val="center"/>
          </w:tcPr>
          <w:p>
            <w:pPr>
              <w:rPr>
                <w:lang w:eastAsia="ja-JP"/>
              </w:rPr>
            </w:pPr>
            <w:bookmarkStart w:id="31" w:name="审核依据"/>
            <w:r>
              <w:rPr>
                <w:rFonts w:ascii="宋体" w:hAnsi="宋体" w:cs="宋体"/>
                <w:color w:val="000000"/>
                <w:kern w:val="0"/>
                <w:szCs w:val="21"/>
              </w:rPr>
              <w:t>E：GB/T 24001-2016/ISO14001:2015,O：GB/T45001-2020 / ISO45001：2018</w:t>
            </w:r>
            <w:bookmarkEnd w:id="31"/>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sym w:font="Wingdings 2" w:char="00A3"/>
            </w: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w:t>
            </w:r>
          </w:p>
        </w:tc>
        <w:tc>
          <w:tcPr>
            <w:tcW w:w="1089" w:type="dxa"/>
            <w:vAlign w:val="center"/>
          </w:tcPr>
          <w:p>
            <w:r>
              <w:t>组长</w:t>
            </w:r>
          </w:p>
        </w:tc>
        <w:tc>
          <w:tcPr>
            <w:tcW w:w="711" w:type="dxa"/>
            <w:vAlign w:val="center"/>
          </w:tcPr>
          <w:p>
            <w:r>
              <w:t>男</w:t>
            </w:r>
          </w:p>
        </w:tc>
        <w:tc>
          <w:tcPr>
            <w:tcW w:w="3870" w:type="dxa"/>
            <w:vAlign w:val="center"/>
          </w:tcPr>
          <w:p>
            <w:r>
              <w:t>2020-N1EMS-2226478</w:t>
            </w:r>
          </w:p>
          <w:p>
            <w:r>
              <w:t>2020-N1OHSMS-2226478</w:t>
            </w:r>
          </w:p>
        </w:tc>
        <w:tc>
          <w:tcPr>
            <w:tcW w:w="2179" w:type="dxa"/>
            <w:vAlign w:val="center"/>
          </w:tcPr>
          <w:p>
            <w:r>
              <w:t>E:29.12.00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明利红</w:t>
            </w:r>
          </w:p>
        </w:tc>
        <w:tc>
          <w:tcPr>
            <w:tcW w:w="1089" w:type="dxa"/>
            <w:vAlign w:val="center"/>
          </w:tcPr>
          <w:p>
            <w:r>
              <w:t>组员</w:t>
            </w:r>
          </w:p>
        </w:tc>
        <w:tc>
          <w:tcPr>
            <w:tcW w:w="711" w:type="dxa"/>
            <w:vAlign w:val="center"/>
          </w:tcPr>
          <w:p>
            <w:r>
              <w:t>女</w:t>
            </w:r>
          </w:p>
        </w:tc>
        <w:tc>
          <w:tcPr>
            <w:tcW w:w="3870" w:type="dxa"/>
            <w:vAlign w:val="center"/>
          </w:tcPr>
          <w:p>
            <w:r>
              <w:t>2021-N1EMS-3093634</w:t>
            </w:r>
          </w:p>
          <w:p>
            <w:r>
              <w:t>2022-N1OHSMS-3093634</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2</w:t>
            </w:r>
          </w:p>
        </w:tc>
        <w:tc>
          <w:tcPr>
            <w:tcW w:w="1717" w:type="dxa"/>
          </w:tcP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2</w:t>
            </w:r>
          </w:p>
        </w:tc>
        <w:tc>
          <w:tcPr>
            <w:tcW w:w="1717" w:type="dxa"/>
          </w:tcP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2336" behindDoc="0" locked="0" layoutInCell="1" allowOverlap="1">
                  <wp:simplePos x="0" y="0"/>
                  <wp:positionH relativeFrom="column">
                    <wp:posOffset>553085</wp:posOffset>
                  </wp:positionH>
                  <wp:positionV relativeFrom="paragraph">
                    <wp:posOffset>-771525</wp:posOffset>
                  </wp:positionV>
                  <wp:extent cx="524510" cy="280670"/>
                  <wp:effectExtent l="0" t="0" r="8890" b="11430"/>
                  <wp:wrapTopAndBottom/>
                  <wp:docPr id="11" name="图片 1" descr="49527f178761179e49e527589a9e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49527f178761179e49e527589a9ef90"/>
                          <pic:cNvPicPr>
                            <a:picLocks noChangeAspect="1"/>
                          </pic:cNvPicPr>
                        </pic:nvPicPr>
                        <pic:blipFill>
                          <a:blip r:embed="rId6">
                            <a:biLevel thresh="75000"/>
                          </a:blip>
                          <a:stretch>
                            <a:fillRect/>
                          </a:stretch>
                        </pic:blipFill>
                        <pic:spPr>
                          <a:xfrm>
                            <a:off x="0" y="0"/>
                            <a:ext cx="524510" cy="28067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2022.10.15.</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法律法规□技术□竞争</w:t>
                  </w:r>
                  <w:r>
                    <w:rPr>
                      <w:rFonts w:hint="eastAsia"/>
                    </w:rPr>
                    <w:sym w:font="Wingdings 2" w:char="0052"/>
                  </w:r>
                  <w:r>
                    <w:rPr>
                      <w:rFonts w:hint="eastAsia"/>
                    </w:rPr>
                    <w:t>市场□文化□社会□经济环境</w:t>
                  </w:r>
                </w:p>
                <w:p>
                  <w:pPr>
                    <w:shd w:val="clear" w:color="auto" w:fill="EBF1DE" w:themeFill="accent3" w:themeFillTint="32"/>
                  </w:pPr>
                  <w:r>
                    <w:rPr>
                      <w:rFonts w:hint="eastAsia"/>
                    </w:rPr>
                    <w:t>□政治</w:t>
                  </w:r>
                  <w:r>
                    <w:rPr>
                      <w:rFonts w:hint="eastAsia"/>
                    </w:rPr>
                    <w:sym w:font="Wingdings 2" w:char="0052"/>
                  </w:r>
                  <w:r>
                    <w:rPr>
                      <w:rFonts w:hint="eastAsia"/>
                    </w:rPr>
                    <w:t>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价值观□文化□知识□绩效□工艺□设备□人员能力</w:t>
                  </w:r>
                </w:p>
                <w:p>
                  <w:pPr>
                    <w:shd w:val="clear" w:color="auto" w:fill="EBF1DE" w:themeFill="accent3" w:themeFillTint="32"/>
                  </w:pPr>
                  <w:r>
                    <w:rPr>
                      <w:rFonts w:hint="eastAsia"/>
                    </w:rPr>
                    <w:sym w:font="Wingdings 2" w:char="0052"/>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营销和市场□生产□检验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A3"/>
            </w:r>
            <w:r>
              <w:rPr>
                <w:rFonts w:hint="eastAsia"/>
              </w:rPr>
              <w:t>节约能源</w:t>
            </w:r>
            <w:r>
              <w:rPr>
                <w:rFonts w:hint="eastAsia"/>
              </w:rPr>
              <w:sym w:font="Wingdings 2" w:char="00A3"/>
            </w:r>
            <w:r>
              <w:rPr>
                <w:rFonts w:hint="eastAsia"/>
              </w:rPr>
              <w:t>节约资源□达标排放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w:t>
            </w:r>
            <w:r>
              <w:rPr>
                <w:rFonts w:hint="eastAsia"/>
              </w:rPr>
              <w:sym w:font="Wingdings 2" w:char="0052"/>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jc w:val="center"/>
              <w:rPr>
                <w:rFonts w:hint="eastAsia"/>
                <w:b/>
                <w:sz w:val="30"/>
                <w:szCs w:val="28"/>
              </w:rPr>
            </w:pPr>
            <w:r>
              <w:rPr>
                <w:rFonts w:hint="eastAsia"/>
                <w:b/>
                <w:sz w:val="30"/>
                <w:szCs w:val="28"/>
              </w:rPr>
              <w:t>遵守环境法律法规，实现环境污染控制；</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1.法律法规及其它要求识别不及时、缺失、不适用</w:t>
                  </w:r>
                </w:p>
              </w:tc>
              <w:tc>
                <w:tcPr>
                  <w:tcW w:w="396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法律法规法律法规及其它要求识别评价在程序中做出规定</w:t>
                  </w:r>
                </w:p>
              </w:tc>
              <w:tc>
                <w:tcPr>
                  <w:tcW w:w="1717" w:type="dxa"/>
                </w:tcPr>
                <w:p>
                  <w:pPr>
                    <w:shd w:val="clear" w:color="auto" w:fill="EBF1DE" w:themeFill="accent3" w:themeFillTint="32"/>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2.适用的法律法规及其它要求未被相关部门传递和了解</w:t>
                  </w:r>
                </w:p>
              </w:tc>
              <w:tc>
                <w:tcPr>
                  <w:tcW w:w="396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法律法规及其它要求培训列入年度培训计划</w:t>
                  </w:r>
                </w:p>
              </w:tc>
              <w:tc>
                <w:tcPr>
                  <w:tcW w:w="1717" w:type="dxa"/>
                </w:tcPr>
                <w:p>
                  <w:pPr>
                    <w:shd w:val="clear" w:color="auto" w:fill="EBF1DE" w:themeFill="accent3" w:themeFillTint="32"/>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hint="eastAsia" w:ascii="宋体" w:hAnsi="宋体" w:eastAsia="宋体" w:cs="Times New Roman"/>
                      <w:bCs/>
                      <w:color w:val="000000"/>
                      <w:szCs w:val="21"/>
                    </w:rPr>
                  </w:pPr>
                  <w:r>
                    <w:rPr>
                      <w:rFonts w:hint="eastAsia" w:ascii="宋体" w:hAnsi="宋体" w:eastAsia="宋体" w:cs="Times New Roman"/>
                      <w:bCs/>
                      <w:color w:val="000000"/>
                      <w:szCs w:val="21"/>
                    </w:rPr>
                    <w:t>3．固体废弃物有效处置率100%</w:t>
                  </w:r>
                </w:p>
              </w:tc>
              <w:tc>
                <w:tcPr>
                  <w:tcW w:w="3136" w:type="dxa"/>
                  <w:shd w:val="clear" w:color="auto" w:fill="auto"/>
                  <w:vAlign w:val="center"/>
                </w:tcPr>
                <w:p>
                  <w:pPr>
                    <w:spacing w:line="0" w:lineRule="atLeast"/>
                    <w:rPr>
                      <w:lang w:val="en-GB"/>
                    </w:rPr>
                  </w:pPr>
                  <w:r>
                    <w:rPr>
                      <w:rFonts w:hint="eastAsia" w:ascii="宋体" w:hAnsi="宋体"/>
                      <w:bCs/>
                      <w:color w:val="000000"/>
                      <w:szCs w:val="21"/>
                    </w:rPr>
                    <w:t>制定并实施专项管理方案</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各部门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hint="eastAsia" w:ascii="宋体" w:hAnsi="宋体" w:eastAsia="宋体" w:cs="Times New Roman"/>
                      <w:bCs/>
                      <w:color w:val="000000"/>
                      <w:szCs w:val="21"/>
                    </w:rPr>
                  </w:pPr>
                  <w:r>
                    <w:rPr>
                      <w:rFonts w:hint="eastAsia" w:ascii="宋体" w:hAnsi="宋体" w:eastAsia="宋体" w:cs="Times New Roman"/>
                      <w:bCs/>
                      <w:color w:val="000000"/>
                      <w:szCs w:val="21"/>
                    </w:rPr>
                    <w:t>4．无火灾事故发生；</w:t>
                  </w:r>
                </w:p>
              </w:tc>
              <w:tc>
                <w:tcPr>
                  <w:tcW w:w="3136" w:type="dxa"/>
                  <w:shd w:val="clear" w:color="auto" w:fill="auto"/>
                  <w:vAlign w:val="top"/>
                </w:tcPr>
                <w:p>
                  <w:pPr>
                    <w:rPr>
                      <w:rFonts w:ascii="宋体" w:hAnsi="宋体"/>
                    </w:rPr>
                  </w:pPr>
                  <w:r>
                    <w:rPr>
                      <w:rFonts w:hint="eastAsia" w:ascii="宋体" w:hAnsi="宋体"/>
                      <w:bCs/>
                      <w:color w:val="000000"/>
                      <w:szCs w:val="21"/>
                    </w:rPr>
                    <w:t>制定并实施专项管理方案</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各部门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220</w:t>
            </w:r>
            <w:r>
              <w:rPr>
                <w:rFonts w:hint="eastAsia"/>
              </w:rPr>
              <w:t>平方米；生产车间个；库房</w:t>
            </w:r>
            <w:r>
              <w:rPr>
                <w:rFonts w:hint="eastAsia"/>
                <w:lang w:val="en-US" w:eastAsia="zh-CN"/>
              </w:rPr>
              <w:t>2</w:t>
            </w:r>
            <w:r>
              <w:rPr>
                <w:rFonts w:hint="eastAsia"/>
              </w:rPr>
              <w:t>个；实验室个；</w:t>
            </w:r>
          </w:p>
          <w:p>
            <w:pPr>
              <w:shd w:val="clear" w:color="auto" w:fill="EBF1DE" w:themeFill="accent3" w:themeFillTint="32"/>
              <w:rPr>
                <w:rFonts w:hint="default" w:eastAsia="宋体"/>
                <w:u w:val="single"/>
                <w:lang w:val="en-US" w:eastAsia="zh-CN"/>
              </w:rPr>
            </w:pPr>
            <w:r>
              <w:rPr>
                <w:rFonts w:hint="eastAsia"/>
              </w:rPr>
              <w:t>主要生产设备有：</w:t>
            </w:r>
            <w:r>
              <w:rPr>
                <w:rFonts w:hint="eastAsia"/>
                <w:u w:val="single"/>
                <w:lang w:val="en-US" w:eastAsia="zh-CN"/>
              </w:rPr>
              <w:t>电脑、手机</w:t>
            </w:r>
          </w:p>
          <w:p>
            <w:pPr>
              <w:shd w:val="clear" w:color="auto" w:fill="EBF1DE" w:themeFill="accent3" w:themeFillTint="32"/>
              <w:rPr>
                <w:rFonts w:hint="eastAsia" w:eastAsia="宋体"/>
                <w:u w:val="single"/>
                <w:lang w:eastAsia="zh-CN"/>
              </w:rPr>
            </w:pPr>
            <w:r>
              <w:rPr>
                <w:rFonts w:hint="eastAsia"/>
              </w:rPr>
              <w:t>主要环保设备有：</w:t>
            </w:r>
            <w:r>
              <w:rPr>
                <w:rFonts w:hint="eastAsia"/>
                <w:u w:val="single"/>
                <w:lang w:val="en-US" w:eastAsia="zh-CN"/>
              </w:rPr>
              <w:t>垃圾篓</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rPr>
                <w:rFonts w:hint="default" w:eastAsia="宋体"/>
                <w:lang w:val="en-US" w:eastAsia="zh-CN"/>
              </w:rPr>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成品</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运行控制</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r>
                    <w:rPr>
                      <w:rFonts w:hint="eastAsia"/>
                      <w:lang w:val="en-US" w:eastAsia="zh-CN"/>
                    </w:rPr>
                    <w:t>运行控制</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lang w:val="en-US" w:eastAsia="zh-CN"/>
                    </w:rPr>
                    <w:t>运行控制</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lang w:val="en-US"/>
                    </w:rPr>
                  </w:pPr>
                  <w:r>
                    <w:rPr>
                      <w:rFonts w:hint="eastAsia"/>
                      <w:lang w:val="en-US" w:eastAsia="zh-CN"/>
                    </w:rPr>
                    <w:t>运行控制、应急预案</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9</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9</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20</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sym w:font="Wingdings 2" w:char="0052"/>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24</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A3"/>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lang w:val="en-US" w:eastAsia="zh-CN"/>
              </w:rPr>
              <w:t>O</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法律法规□技术</w:t>
                  </w:r>
                  <w:r>
                    <w:rPr>
                      <w:rFonts w:hint="eastAsia"/>
                    </w:rPr>
                    <w:sym w:font="Wingdings 2" w:char="0052"/>
                  </w:r>
                  <w:r>
                    <w:rPr>
                      <w:rFonts w:hint="eastAsia"/>
                    </w:rPr>
                    <w:t>竞争□市场□文化□社会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□认知□价值观□文化□知识</w:t>
                  </w:r>
                  <w:r>
                    <w:rPr>
                      <w:rFonts w:hint="eastAsia"/>
                    </w:rPr>
                    <w:sym w:font="Wingdings 2" w:char="0052"/>
                  </w:r>
                  <w:r>
                    <w:rPr>
                      <w:rFonts w:hint="eastAsia"/>
                    </w:rPr>
                    <w:t>绩效□工艺□设备</w:t>
                  </w:r>
                  <w:r>
                    <w:rPr>
                      <w:rFonts w:hint="eastAsia"/>
                    </w:rPr>
                    <w:sym w:font="Wingdings 2" w:char="0052"/>
                  </w:r>
                  <w:r>
                    <w:rPr>
                      <w:rFonts w:hint="eastAsia"/>
                    </w:rPr>
                    <w:t>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w:t>
            </w:r>
            <w:r>
              <w:rPr>
                <w:rFonts w:hint="eastAsia"/>
              </w:rPr>
              <w:sym w:font="Wingdings 2" w:char="0052"/>
            </w:r>
            <w:r>
              <w:rPr>
                <w:rFonts w:hint="eastAsia"/>
              </w:rPr>
              <w:t>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jc w:val="center"/>
              <w:rPr>
                <w:rFonts w:hint="eastAsia"/>
                <w:b/>
                <w:sz w:val="30"/>
                <w:szCs w:val="28"/>
              </w:rPr>
            </w:pPr>
            <w:r>
              <w:rPr>
                <w:rFonts w:hint="eastAsia"/>
                <w:b/>
                <w:sz w:val="30"/>
                <w:szCs w:val="28"/>
              </w:rPr>
              <w:t>注重职业健康安全预防，创造和谐安全企业；</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综合部</w:t>
            </w:r>
          </w:p>
          <w:p>
            <w:pPr>
              <w:rPr>
                <w:rFonts w:hint="eastAsia" w:eastAsia="宋体"/>
                <w:lang w:val="en-US" w:eastAsia="zh-CN"/>
              </w:rPr>
            </w:pPr>
            <w:r>
              <w:rPr>
                <w:rFonts w:hint="eastAsia"/>
              </w:rPr>
              <w:t>安全的主管部门是——</w:t>
            </w:r>
            <w:r>
              <w:rPr>
                <w:rFonts w:hint="eastAsia"/>
                <w:lang w:val="en-US" w:eastAsia="zh-CN"/>
              </w:rPr>
              <w:t>综合部</w:t>
            </w: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lang w:val="en-US" w:eastAsia="zh-CN"/>
              </w:rPr>
              <w:t>权晓毅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1.法律法规及其它要求识别不及时、缺失、不适用</w:t>
                  </w:r>
                </w:p>
              </w:tc>
              <w:tc>
                <w:tcPr>
                  <w:tcW w:w="396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法律法规法律法规及其它要求识别评价在程序中做出规定</w:t>
                  </w:r>
                </w:p>
              </w:tc>
              <w:tc>
                <w:tcPr>
                  <w:tcW w:w="1717" w:type="dxa"/>
                </w:tcPr>
                <w:p>
                  <w:pPr>
                    <w:rPr>
                      <w:rFonts w:hint="eastAsia"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2.适用的法律法规及其它要求未被相关部门传递和了解</w:t>
                  </w:r>
                </w:p>
              </w:tc>
              <w:tc>
                <w:tcPr>
                  <w:tcW w:w="396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法律法规及其它要求培训列入年度培训计划</w:t>
                  </w:r>
                </w:p>
              </w:tc>
              <w:tc>
                <w:tcPr>
                  <w:tcW w:w="1717" w:type="dxa"/>
                </w:tcPr>
                <w:p>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0" w:lineRule="atLeast"/>
                  </w:pPr>
                  <w:r>
                    <w:rPr>
                      <w:rFonts w:hint="eastAsia" w:ascii="宋体" w:hAnsi="宋体"/>
                      <w:bCs/>
                      <w:color w:val="000000"/>
                      <w:szCs w:val="21"/>
                    </w:rPr>
                    <w:t>火灾发生率0</w:t>
                  </w:r>
                </w:p>
              </w:tc>
              <w:tc>
                <w:tcPr>
                  <w:tcW w:w="3136" w:type="dxa"/>
                  <w:shd w:val="clear" w:color="auto" w:fill="auto"/>
                  <w:vAlign w:val="top"/>
                </w:tcPr>
                <w:p>
                  <w:pPr>
                    <w:rPr>
                      <w:lang w:val="en-GB"/>
                    </w:rPr>
                  </w:pPr>
                  <w:r>
                    <w:rPr>
                      <w:rFonts w:hint="eastAsia" w:ascii="宋体" w:hAnsi="宋体"/>
                      <w:bCs/>
                      <w:color w:val="000000"/>
                      <w:szCs w:val="21"/>
                    </w:rPr>
                    <w:t>制定并实施专项管理方案</w:t>
                  </w:r>
                </w:p>
              </w:tc>
              <w:tc>
                <w:tcPr>
                  <w:tcW w:w="1350" w:type="dxa"/>
                  <w:shd w:val="clear" w:color="auto" w:fill="auto"/>
                  <w:vAlign w:val="center"/>
                </w:tcPr>
                <w:p>
                  <w:pPr>
                    <w:rPr>
                      <w:rFonts w:hint="eastAsia" w:eastAsia="宋体"/>
                      <w:lang w:val="en-US" w:eastAsia="zh-CN"/>
                    </w:rPr>
                  </w:pPr>
                  <w:r>
                    <w:rPr>
                      <w:rFonts w:hint="eastAsia"/>
                      <w:lang w:val="en-US" w:eastAsia="zh-CN"/>
                    </w:rPr>
                    <w:t>各部门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0" w:lineRule="atLeast"/>
                  </w:pPr>
                  <w:r>
                    <w:rPr>
                      <w:rFonts w:hint="eastAsia" w:ascii="宋体" w:hAnsi="宋体"/>
                      <w:bCs/>
                      <w:color w:val="000000"/>
                      <w:szCs w:val="21"/>
                    </w:rPr>
                    <w:t>触电事故发生率0</w:t>
                  </w:r>
                </w:p>
              </w:tc>
              <w:tc>
                <w:tcPr>
                  <w:tcW w:w="3136" w:type="dxa"/>
                  <w:shd w:val="clear" w:color="auto" w:fill="auto"/>
                  <w:vAlign w:val="top"/>
                </w:tcPr>
                <w:p>
                  <w:pPr>
                    <w:rPr>
                      <w:rFonts w:ascii="宋体" w:hAnsi="宋体"/>
                    </w:rPr>
                  </w:pPr>
                  <w:r>
                    <w:rPr>
                      <w:rFonts w:hint="eastAsia" w:ascii="宋体" w:hAnsi="宋体"/>
                      <w:bCs/>
                      <w:color w:val="000000"/>
                      <w:szCs w:val="21"/>
                    </w:rPr>
                    <w:t>制定并实施专项管理方案</w:t>
                  </w:r>
                </w:p>
              </w:tc>
              <w:tc>
                <w:tcPr>
                  <w:tcW w:w="1350" w:type="dxa"/>
                  <w:shd w:val="clear" w:color="auto" w:fill="auto"/>
                  <w:vAlign w:val="center"/>
                </w:tcPr>
                <w:p>
                  <w:pPr>
                    <w:rPr>
                      <w:rFonts w:ascii="宋体" w:hAnsi="宋体"/>
                    </w:rPr>
                  </w:pPr>
                  <w:r>
                    <w:rPr>
                      <w:rFonts w:hint="eastAsia"/>
                      <w:lang w:val="en-US" w:eastAsia="zh-CN"/>
                    </w:rPr>
                    <w:t>各部门</w:t>
                  </w:r>
                </w:p>
              </w:tc>
              <w:tc>
                <w:tcPr>
                  <w:tcW w:w="1774" w:type="dxa"/>
                  <w:shd w:val="clear" w:color="auto" w:fill="auto"/>
                  <w:vAlign w:val="center"/>
                </w:tcPr>
                <w:p>
                  <w:pPr>
                    <w:jc w:val="center"/>
                    <w:rPr>
                      <w:rFonts w:ascii="宋体" w:hAnsi="宋体"/>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0" w:lineRule="atLeast"/>
                  </w:pPr>
                  <w:r>
                    <w:rPr>
                      <w:rFonts w:hint="eastAsia" w:ascii="宋体" w:hAnsi="宋体"/>
                      <w:bCs/>
                      <w:color w:val="000000"/>
                      <w:szCs w:val="21"/>
                    </w:rPr>
                    <w:t>人身伤害发生率0</w:t>
                  </w:r>
                </w:p>
              </w:tc>
              <w:tc>
                <w:tcPr>
                  <w:tcW w:w="3136" w:type="dxa"/>
                  <w:shd w:val="clear" w:color="auto" w:fill="auto"/>
                  <w:vAlign w:val="top"/>
                </w:tcPr>
                <w:p>
                  <w:pPr>
                    <w:rPr>
                      <w:rFonts w:ascii="宋体" w:hAnsi="宋体"/>
                    </w:rPr>
                  </w:pPr>
                  <w:r>
                    <w:rPr>
                      <w:rFonts w:hint="eastAsia" w:ascii="宋体" w:hAnsi="宋体"/>
                      <w:bCs/>
                      <w:color w:val="000000"/>
                      <w:szCs w:val="21"/>
                    </w:rPr>
                    <w:t>制定并实施专项管理方案</w:t>
                  </w:r>
                </w:p>
              </w:tc>
              <w:tc>
                <w:tcPr>
                  <w:tcW w:w="1350" w:type="dxa"/>
                  <w:shd w:val="clear" w:color="auto" w:fill="auto"/>
                  <w:vAlign w:val="center"/>
                </w:tcPr>
                <w:p>
                  <w:pPr>
                    <w:rPr>
                      <w:rFonts w:ascii="宋体" w:hAnsi="宋体"/>
                    </w:rPr>
                  </w:pPr>
                  <w:r>
                    <w:rPr>
                      <w:rFonts w:hint="eastAsia"/>
                      <w:lang w:val="en-US" w:eastAsia="zh-CN"/>
                    </w:rPr>
                    <w:t>各部门</w:t>
                  </w:r>
                </w:p>
              </w:tc>
              <w:tc>
                <w:tcPr>
                  <w:tcW w:w="1774" w:type="dxa"/>
                  <w:shd w:val="clear" w:color="auto" w:fill="auto"/>
                  <w:vAlign w:val="center"/>
                </w:tcPr>
                <w:p>
                  <w:pPr>
                    <w:jc w:val="center"/>
                    <w:rPr>
                      <w:rFonts w:ascii="宋体" w:hAnsi="宋体"/>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220</w:t>
            </w:r>
            <w:r>
              <w:rPr>
                <w:rFonts w:hint="eastAsia"/>
              </w:rPr>
              <w:t>平方米；生产车间个；库房</w:t>
            </w:r>
            <w:r>
              <w:rPr>
                <w:rFonts w:hint="eastAsia"/>
                <w:lang w:val="en-US" w:eastAsia="zh-CN"/>
              </w:rPr>
              <w:t>2</w:t>
            </w:r>
            <w:r>
              <w:rPr>
                <w:rFonts w:hint="eastAsia"/>
              </w:rPr>
              <w:t>个；实验室个；</w:t>
            </w:r>
          </w:p>
          <w:p>
            <w:pPr>
              <w:rPr>
                <w:rFonts w:hint="default" w:eastAsia="宋体"/>
                <w:u w:val="single"/>
                <w:lang w:val="en-US" w:eastAsia="zh-CN"/>
              </w:rPr>
            </w:pPr>
            <w:r>
              <w:rPr>
                <w:rFonts w:hint="eastAsia"/>
              </w:rPr>
              <w:t>主要生产设备有：</w:t>
            </w:r>
            <w:r>
              <w:rPr>
                <w:rFonts w:hint="eastAsia"/>
                <w:u w:val="single"/>
                <w:lang w:val="en-US" w:eastAsia="zh-CN"/>
              </w:rPr>
              <w:t>电脑、手机</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sym w:font="Wingdings 2" w:char="0052"/>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A3"/>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rPr>
                <w:rFonts w:hint="default" w:eastAsia="宋体"/>
                <w:lang w:val="en-US" w:eastAsia="zh-CN"/>
              </w:rPr>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成品</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eastAsia" w:eastAsia="宋体"/>
                      <w:lang w:val="en-US" w:eastAsia="zh-CN"/>
                    </w:rPr>
                  </w:pPr>
                  <w:r>
                    <w:rPr>
                      <w:rFonts w:hint="eastAsia"/>
                      <w:lang w:val="en-US" w:eastAsia="zh-CN"/>
                    </w:rPr>
                    <w:t>管理方案</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9</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9</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20</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sym w:font="Wingdings 2" w:char="0052"/>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24</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sym w:font="Wingdings 2" w:char="00A3"/>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NmYzZkNjY3OTU4NDczNmE2MzQyY2ZjMDNmYTJmNDMifQ=="/>
  </w:docVars>
  <w:rsids>
    <w:rsidRoot w:val="00000000"/>
    <w:rsid w:val="05D11CBD"/>
    <w:rsid w:val="0C6F1945"/>
    <w:rsid w:val="1F590D13"/>
    <w:rsid w:val="1FAD5A1F"/>
    <w:rsid w:val="25B51C03"/>
    <w:rsid w:val="286F0F28"/>
    <w:rsid w:val="2A806166"/>
    <w:rsid w:val="339A4C4A"/>
    <w:rsid w:val="41452699"/>
    <w:rsid w:val="44C169B3"/>
    <w:rsid w:val="4EA74214"/>
    <w:rsid w:val="54302D35"/>
    <w:rsid w:val="58346B6C"/>
    <w:rsid w:val="607B1104"/>
    <w:rsid w:val="6096014D"/>
    <w:rsid w:val="63525E82"/>
    <w:rsid w:val="681608AF"/>
    <w:rsid w:val="698E4C48"/>
    <w:rsid w:val="6E095EEB"/>
    <w:rsid w:val="7CC163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jc w:val="left"/>
    </w:pPr>
    <w:rPr>
      <w:rFonts w:ascii="Times New Roman" w:hAnsi="Times New Roman" w:eastAsia="宋体"/>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15268</Words>
  <Characters>16031</Characters>
  <Lines>150</Lines>
  <Paragraphs>42</Paragraphs>
  <TotalTime>4</TotalTime>
  <ScaleCrop>false</ScaleCrop>
  <LinksUpToDate>false</LinksUpToDate>
  <CharactersWithSpaces>16162</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匡吉文</cp:lastModifiedBy>
  <cp:lastPrinted>2019-05-13T03:19:00Z</cp:lastPrinted>
  <dcterms:modified xsi:type="dcterms:W3CDTF">2022-10-16T05:01:03Z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2052-11.1.0.12132</vt:lpwstr>
  </property>
</Properties>
</file>